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gif" ContentType="image/gif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0"/>
        <w:jc w:val="right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bookmarkStart w:id="0" w:name="SectionMark2"/>
      <w: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29210</wp:posOffset>
                </wp:positionH>
                <wp:positionV relativeFrom="page">
                  <wp:posOffset>9290050</wp:posOffset>
                </wp:positionV>
                <wp:extent cx="6120130" cy="0"/>
                <wp:effectExtent l="0" t="0" r="0" b="0"/>
                <wp:wrapNone/>
                <wp:docPr id="12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.3pt;margin-top:731.5pt;height:0pt;width:481.9pt;mso-position-vertical-relative:page;z-index:251670528;mso-width-relative:page;mso-height-relative:page;" filled="f" stroked="t" coordsize="21600,21600" o:gfxdata="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4z67HdYAAAALAQAADwAAAAAAAAABACAAAAAiAAAAZHJzL2Rvd25yZXYueG1sUEsBAhQAFAAA&#10;AAgAh07iQFeZ1V3xAQAA5wMAAA4AAAAAAAAAAQAgAAAAJQ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  <w:r>
        <w:rPr>
          <w:rFonts w:hint="eastAsia" w:ascii="黑体" w:hAnsi="黑体" w:eastAsia="黑体" w:cs="黑体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2286635</wp:posOffset>
                </wp:positionV>
                <wp:extent cx="6120130" cy="0"/>
                <wp:effectExtent l="0" t="0" r="0" b="0"/>
                <wp:wrapNone/>
                <wp:docPr id="11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-0.7pt;margin-top:180.05pt;height:0pt;width:481.9pt;z-index:251669504;mso-width-relative:page;mso-height-relative:page;" filled="f" stroked="t" coordsize="21600,21600" o:gfxdata="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dulvNYAAAAKAQAADwAAAAAAAAABACAAAAAiAAAAZHJzL2Rvd25yZXYueG1sUEsBAhQAFAAA&#10;AAgAh07iQNq+DzPxAQAA5wMAAA4AAAAAAAAAAQAgAAAAJQ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5080" b="12700"/>
                <wp:wrapNone/>
                <wp:docPr id="10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7"/>
                            </w:pPr>
                            <w:r>
                              <w:t>ICS 71.100.70</w:t>
                            </w:r>
                          </w:p>
                          <w:p>
                            <w:pPr>
                              <w:pStyle w:val="97"/>
                            </w:pPr>
                            <w:r>
                              <w:t>Y 42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68480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Xsy+DTAAAABQEAAA8AAAAAAAAAAQAgAAAAIgAAAGRycy9kb3ducmV2&#10;LnhtbFBLAQIUABQAAAAIAIdO4kCQCw5gyAEAAKcDAAAOAAAAAAAAAAEAIAAAACIBAABkcnMvZTJv&#10;RG9jLnhtbFBLBQYAAAAABgAGAFkBAABc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7"/>
                      </w:pPr>
                      <w:r>
                        <w:t>ICS 71.100.70</w:t>
                      </w:r>
                    </w:p>
                    <w:p>
                      <w:pPr>
                        <w:pStyle w:val="97"/>
                      </w:pPr>
                      <w:r>
                        <w:t>Y 42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8960485</wp:posOffset>
                </wp:positionV>
                <wp:extent cx="666750" cy="396240"/>
                <wp:effectExtent l="0" t="0" r="0" b="0"/>
                <wp:wrapNone/>
                <wp:docPr id="9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eastAsia="黑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0"/>
                                <w:szCs w:val="30"/>
                              </w:rPr>
                              <w:t>发布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435.75pt;margin-top:705.55pt;height:31.2pt;width:52.5pt;z-index:251667456;mso-width-relative:page;mso-height-relative:page;" filled="f" stroked="f" coordsize="21600,21600" o:gfxdata="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D6Q9NgAAAANAQAADwAAAAAAAAABACAAAAAiAAAAZHJzL2Rvd25yZXYueG1sUEsBAhQA&#10;FAAAAAgAh07iQBKiAB+5AQAAXA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eastAsia="黑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eastAsia="黑体"/>
                          <w:sz w:val="30"/>
                          <w:szCs w:val="30"/>
                        </w:rP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0" t="0" r="0" b="0"/>
                <wp:wrapNone/>
                <wp:docPr id="8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0pt;margin-top:700pt;height:0pt;width:482pt;z-index:251666432;mso-width-relative:page;mso-height-relative:page;" filled="f" stroked="t" coordsize="21600,21600" o:allowincell="f" o:gfxdata="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2GrA71AAAAAoBAAAPAAAA&#10;AAAAAAEAIAAAACIAAABkcnMvZG93bnJldi54bWxQSwECFAAUAAAACACHTuJAkV41XeABAADRAwAA&#10;DgAAAAAAAAABACAAAAAjAQAAZHJzL2Uyb0RvYy54bWxQSwUGAAAAAAYABgBZAQAAdQUAAAAA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0" t="0" r="0" b="0"/>
                <wp:wrapNone/>
                <wp:docPr id="7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0pt;margin-top:179pt;height:0pt;width:482pt;z-index:251665408;mso-width-relative:page;mso-height-relative:page;" filled="f" stroked="t" coordsize="21600,21600" o:allowincell="f" o:gfxdata="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yLtAXWAAAACAEAAA8A&#10;AAAAAAAAAQAgAAAAIgAAAGRycy9kb3ducmV2LnhtbFBLAQIUABQAAAAIAIdO4kBL3w7v4AEAANED&#10;AAAOAAAAAAAAAAEAIAAAACUBAABkcnMvZTJvRG9jLnhtbFBLBQYAAAAABgAGAFkBAAB3BQAAAAA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318770</wp:posOffset>
                </wp:positionH>
                <wp:positionV relativeFrom="margin">
                  <wp:posOffset>8915400</wp:posOffset>
                </wp:positionV>
                <wp:extent cx="5148580" cy="837565"/>
                <wp:effectExtent l="0" t="0" r="2540" b="635"/>
                <wp:wrapNone/>
                <wp:docPr id="6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858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0"/>
                              <w:rPr>
                                <w:rFonts w:ascii="黑体" w:hAnsi="黑体" w:eastAsia="黑体" w:cs="黑体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</w:rPr>
                              <w:t>中国香料香精化妆品工业协会</w:t>
                            </w:r>
                          </w:p>
                          <w:p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25.1pt;margin-top:702pt;height:65.95pt;width:405.4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3FxGDaAAAADAEAAA8AAAAAAAAAAQAgAAAAIgAAAGRycy9k&#10;b3ducmV2LnhtbFBLAQIUABQAAAAIAIdO4kBVO1YhxwEAAKYDAAAOAAAAAAAAAAEAIAAAACkBAABk&#10;cnMvZTJvRG9jLnhtbFBLBQYAAAAABgAGAFkBAABi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00"/>
                        <w:rPr>
                          <w:rFonts w:ascii="黑体" w:hAnsi="黑体" w:eastAsia="黑体" w:cs="黑体"/>
                          <w:b w:val="0"/>
                          <w:bCs/>
                          <w:spacing w:val="0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spacing w:val="0"/>
                          <w:sz w:val="30"/>
                          <w:szCs w:val="30"/>
                        </w:rPr>
                        <w:t>中国香料香精化妆品工业协会</w:t>
                      </w:r>
                    </w:p>
                    <w:p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8542020</wp:posOffset>
                </wp:positionV>
                <wp:extent cx="2019300" cy="347980"/>
                <wp:effectExtent l="0" t="0" r="7620" b="2540"/>
                <wp:wrapNone/>
                <wp:docPr id="5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"/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202×-××-××实施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</w:p>
                          <w:p/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2.6pt;height:27.4pt;width:159pt;mso-position-horizontal-relative:margin;mso-position-vertical-relative:margin;z-index:251663360;mso-width-relative:page;mso-height-relative:page;" fillcolor="#FFFFFF" filled="t" stroked="f" coordsize="21600,21600" o:allowincell="f" o:gfxdata="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HsJDdoAAAANAQAADwAAAAAAAAABACAAAAAiAAAAZHJz&#10;L2Rvd25yZXYueG1sUEsBAhQAFAAAAAgAh07iQEIrzn3JAQAApgMAAA4AAAAAAAAAAQAgAAAAKQEA&#10;AGRycy9lMm9Eb2MueG1sUEsFBgAAAAAGAAYAWQEAAGQ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2"/>
                      </w:pPr>
                      <w:r>
                        <w:rPr>
                          <w:rFonts w:hint="eastAsia" w:ascii="黑体" w:hAnsi="黑体" w:cs="黑体"/>
                        </w:rPr>
                        <w:t>202×-××-××实施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</w:p>
                    <w:p/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7620" b="7620"/>
                <wp:wrapNone/>
                <wp:docPr id="4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"/>
                              <w:jc w:val="left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202×-××-××发布</w:t>
                            </w:r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2336;mso-width-relative:page;mso-height-relative:page;" fillcolor="#FFFFFF" filled="t" stroked="f" coordsize="21600,21600" o:allowincell="f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82yojYAAAACgEAAA8AAAAAAAAAAQAgAAAAIgAAAGRycy9k&#10;b3ducmV2LnhtbFBLAQIUABQAAAAIAIdO4kArFbhMyQEAAKYDAAAOAAAAAAAAAAEAIAAAACcBAABk&#10;cnMvZTJvRG9jLnhtbFBLBQYAAAAABgAGAFkBAABi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2"/>
                        <w:jc w:val="left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hint="eastAsia" w:ascii="黑体" w:hAnsi="黑体" w:cs="黑体"/>
                        </w:rPr>
                        <w:t>202×-××-××发布</w:t>
                      </w:r>
                    </w:p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0" r="5080" b="12700"/>
                <wp:wrapNone/>
                <wp:docPr id="3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eastAsia="黑体"/>
                                <w:bCs/>
                                <w:sz w:val="5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bCs/>
                                <w:sz w:val="52"/>
                                <w:szCs w:val="28"/>
                              </w:rPr>
                              <w:t>化妆品用原料 N-乙酰神经氨酸</w:t>
                            </w:r>
                          </w:p>
                          <w:p>
                            <w:pPr>
                              <w:pStyle w:val="19"/>
                              <w:jc w:val="center"/>
                              <w:rPr>
                                <w:rFonts w:eastAsia="黑体"/>
                                <w:sz w:val="28"/>
                              </w:rPr>
                            </w:pPr>
                            <w:r>
                              <w:rPr>
                                <w:rFonts w:eastAsia="黑体"/>
                                <w:sz w:val="28"/>
                              </w:rPr>
                              <w:t xml:space="preserve">Cosmetic </w:t>
                            </w:r>
                            <w:r>
                              <w:rPr>
                                <w:rFonts w:hint="eastAsia" w:eastAsia="黑体"/>
                                <w:sz w:val="28"/>
                              </w:rPr>
                              <w:t>ingredients -</w:t>
                            </w:r>
                            <w:r>
                              <w:rPr>
                                <w:rFonts w:eastAsia="黑体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黑体"/>
                                <w:sz w:val="28"/>
                              </w:rPr>
                              <w:t>Acetylneuraminic</w:t>
                            </w:r>
                            <w:r>
                              <w:rPr>
                                <w:rFonts w:eastAsia="黑体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黑体"/>
                                <w:sz w:val="28"/>
                              </w:rPr>
                              <w:t>Acid</w:t>
                            </w:r>
                          </w:p>
                          <w:p>
                            <w:pPr>
                              <w:pStyle w:val="1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（征求意见稿）</w:t>
                            </w:r>
                          </w:p>
                          <w:p>
                            <w:pPr>
                              <w:pStyle w:val="108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108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1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在提交反馈意见时，请将您知道的相关专利连同支持性文件一并附上。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1312;mso-width-relative:page;mso-height-relative:page;" fillcolor="#FFFFFF" filled="t" stroked="f" coordsize="21600,21600" o:allowincell="f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VFefcdgAAAAJAQAADwAAAAAAAAABACAAAAAiAAAAZHJz&#10;L2Rvd25yZXYueG1sUEsBAhQAFAAAAAgAh07iQLjP7y3LAQAApwMAAA4AAAAAAAAAAQAgAAAAJwEA&#10;AGRycy9lMm9Eb2MueG1sUEsFBgAAAAAGAAYAWQEAAGQ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ascii="黑体" w:eastAsia="黑体"/>
                          <w:bCs/>
                          <w:sz w:val="52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bCs/>
                          <w:sz w:val="52"/>
                          <w:szCs w:val="28"/>
                        </w:rPr>
                        <w:t>化妆品用原料 N-乙酰神经氨酸</w:t>
                      </w:r>
                    </w:p>
                    <w:p>
                      <w:pPr>
                        <w:pStyle w:val="19"/>
                        <w:jc w:val="center"/>
                        <w:rPr>
                          <w:rFonts w:eastAsia="黑体"/>
                          <w:sz w:val="28"/>
                        </w:rPr>
                      </w:pPr>
                      <w:r>
                        <w:rPr>
                          <w:rFonts w:eastAsia="黑体"/>
                          <w:sz w:val="28"/>
                        </w:rPr>
                        <w:t xml:space="preserve">Cosmetic </w:t>
                      </w:r>
                      <w:r>
                        <w:rPr>
                          <w:rFonts w:hint="eastAsia" w:eastAsia="黑体"/>
                          <w:sz w:val="28"/>
                        </w:rPr>
                        <w:t>ingredients -</w:t>
                      </w:r>
                      <w:r>
                        <w:rPr>
                          <w:rFonts w:eastAsia="黑体"/>
                          <w:sz w:val="28"/>
                        </w:rPr>
                        <w:t xml:space="preserve"> </w:t>
                      </w:r>
                      <w:r>
                        <w:rPr>
                          <w:rFonts w:hint="eastAsia" w:eastAsia="黑体"/>
                          <w:sz w:val="28"/>
                        </w:rPr>
                        <w:t>Acetylneuraminic</w:t>
                      </w:r>
                      <w:r>
                        <w:rPr>
                          <w:rFonts w:eastAsia="黑体"/>
                          <w:sz w:val="28"/>
                        </w:rPr>
                        <w:t xml:space="preserve"> </w:t>
                      </w:r>
                      <w:r>
                        <w:rPr>
                          <w:rFonts w:hint="eastAsia" w:eastAsia="黑体"/>
                          <w:sz w:val="28"/>
                        </w:rPr>
                        <w:t>Acid</w:t>
                      </w:r>
                    </w:p>
                    <w:p>
                      <w:pPr>
                        <w:pStyle w:val="1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（征求意见稿）</w:t>
                      </w:r>
                    </w:p>
                    <w:p>
                      <w:pPr>
                        <w:pStyle w:val="108"/>
                        <w:rPr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108"/>
                        <w:rPr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1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在提交反馈意见时，请将您知道的相关专利连同支持性文件一并附上。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1684020</wp:posOffset>
                </wp:positionV>
                <wp:extent cx="5802630" cy="577850"/>
                <wp:effectExtent l="0" t="0" r="3810" b="1270"/>
                <wp:wrapNone/>
                <wp:docPr id="2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2630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3"/>
                              <w:rPr>
                                <w:rFonts w:ascii="黑体" w:hAnsi="黑体" w:eastAsia="黑体" w:cs="黑体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T/CAFFCI  XXXX—202X</w:t>
                            </w:r>
                          </w:p>
                          <w:p>
                            <w:pPr>
                              <w:pStyle w:val="93"/>
                              <w:rPr>
                                <w:rFonts w:ascii="黑体" w:eastAsia="黑体"/>
                                <w:b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pt;margin-top:132.6pt;height:45.5pt;width:456.9pt;mso-position-horizontal-relative:margin;mso-position-vertical-relative:margin;z-index:251660288;mso-width-relative:page;mso-height-relative:page;" fillcolor="#FFFFFF" filled="t" stroked="f" coordsize="21600,21600" o:allowincell="f" o:gfxdata="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paGoi2AAAAAgBAAAPAAAAAAAAAAEAIAAAACIAAABkcnMv&#10;ZG93bnJldi54bWxQSwECFAAUAAAACACHTuJAdYLhE8oBAACmAwAADgAAAAAAAAABACAAAAAnAQAA&#10;ZHJzL2Uyb0RvYy54bWxQSwUGAAAAAAYABgBZAQAAYw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3"/>
                        <w:rPr>
                          <w:rFonts w:ascii="黑体" w:hAnsi="黑体" w:eastAsia="黑体" w:cs="黑体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T/CAFFCI  XXXX—202X</w:t>
                      </w:r>
                    </w:p>
                    <w:p>
                      <w:pPr>
                        <w:pStyle w:val="93"/>
                        <w:rPr>
                          <w:rFonts w:ascii="黑体" w:eastAsia="黑体"/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-66675</wp:posOffset>
                </wp:positionH>
                <wp:positionV relativeFrom="margin">
                  <wp:posOffset>1010920</wp:posOffset>
                </wp:positionV>
                <wp:extent cx="6120130" cy="772160"/>
                <wp:effectExtent l="0" t="0" r="6350" b="5080"/>
                <wp:wrapNone/>
                <wp:docPr id="1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8"/>
                              <w:rPr>
                                <w:bCs/>
                                <w:sz w:val="56"/>
                                <w:szCs w:val="72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56"/>
                                <w:szCs w:val="72"/>
                              </w:rPr>
                              <w:t>团体标准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-5.25pt;margin-top:79.6pt;height:60.8pt;width:481.9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KRBJL/aAAAACwEAAA8AAAAAAAAAAQAgAAAAIgAAAGRycy9k&#10;b3ducmV2LnhtbFBLAQIUABQAAAAIAIdO4kA6OoSyxwEAAKYDAAAOAAAAAAAAAAEAIAAAACkBAABk&#10;cnMvZTJvRG9jLnhtbFBLBQYAAAAABgAGAFkBAABi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88"/>
                        <w:rPr>
                          <w:bCs/>
                          <w:sz w:val="56"/>
                          <w:szCs w:val="72"/>
                        </w:rPr>
                      </w:pPr>
                      <w:r>
                        <w:rPr>
                          <w:rFonts w:hint="eastAsia"/>
                          <w:bCs/>
                          <w:sz w:val="56"/>
                          <w:szCs w:val="72"/>
                        </w:rPr>
                        <w:t>团体标准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>
      <w:pPr>
        <w:pStyle w:val="78"/>
      </w:pPr>
      <w:r>
        <w:rPr>
          <w:rFonts w:hint="eastAsia"/>
        </w:rPr>
        <w:t>前    言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本文件按照 GB/T 1.1-20</w:t>
      </w:r>
      <w:r>
        <w:rPr>
          <w:rFonts w:hAnsi="宋体"/>
        </w:rPr>
        <w:t>20</w:t>
      </w:r>
      <w:r>
        <w:rPr>
          <w:rFonts w:hint="eastAsia" w:hAnsi="宋体"/>
        </w:rPr>
        <w:t>《标准化工作导则 第一部分：标准化文件的结构和起草规则》的规则起草。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本文件由中国香料香精化妆品工业协会提出并归口。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本文件起草单位：武汉中科光谷绿色生物技术有限公司、中国科学院合肥物质科学研究院、伽蓝（集团）股份有限公司、珀莱雅化妆品股份有限公司、欧诗漫生物股份有限公司、合肥中科华燕生物技术有限公司。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本文件主要起草人：李翔宇、蒋丽刚、邹岳、徐建明、陈祥松、唐孝鹏、李博玲、吴金勇、孙立洁、袁丽霞、秦优、吴建铭、沈加辉、张丽华。</w:t>
      </w:r>
    </w:p>
    <w:p>
      <w:pPr>
        <w:pStyle w:val="57"/>
        <w:ind w:firstLine="420"/>
        <w:rPr>
          <w:rFonts w:hAnsi="宋体"/>
        </w:rPr>
      </w:pPr>
    </w:p>
    <w:p>
      <w:pPr>
        <w:pStyle w:val="57"/>
        <w:ind w:firstLine="420"/>
        <w:rPr>
          <w:rFonts w:hAnsi="宋体"/>
        </w:rPr>
        <w:sectPr>
          <w:headerReference r:id="rId9" w:type="default"/>
          <w:footerReference r:id="rId10" w:type="default"/>
          <w:pgSz w:w="11907" w:h="16839"/>
          <w:pgMar w:top="1418" w:right="1134" w:bottom="1134" w:left="1418" w:header="1418" w:footer="851" w:gutter="0"/>
          <w:pgNumType w:fmt="upperRoman" w:start="1"/>
          <w:cols w:space="720" w:num="1"/>
          <w:docGrid w:type="lines" w:linePitch="312" w:charSpace="0"/>
        </w:sectPr>
      </w:pPr>
      <w:r>
        <w:rPr>
          <w:rFonts w:hint="eastAsia" w:hAnsi="宋体"/>
        </w:rPr>
        <w:t>请注意本文件的某些内容可能涉及专利。本文件的发布机构不承担识别专利的责任。</w:t>
      </w:r>
    </w:p>
    <w:bookmarkEnd w:id="0"/>
    <w:p>
      <w:pPr>
        <w:pStyle w:val="77"/>
      </w:pPr>
      <w:bookmarkStart w:id="1" w:name="SectionMark4"/>
      <w:r>
        <w:rPr>
          <w:rFonts w:hint="eastAsia"/>
        </w:rPr>
        <w:t>化妆品用原料 N-乙酰神经氨酸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范围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本文件规定了化妆品用原料N-乙酰神经氨酸的基本信息、技术要求、试验方法、检验规则及标志、包装、运输、贮存和保质期的要求。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本文件适用于以葡萄糖、玉米浆为原料，经大肠埃希氏菌发酵、过滤、灭菌、水解、提纯等工艺制成的N-乙酰神经氨酸。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规范性引用文件</w:t>
      </w:r>
    </w:p>
    <w:p>
      <w:pPr>
        <w:pStyle w:val="57"/>
        <w:ind w:firstLine="420"/>
      </w:pPr>
      <w:r>
        <w:rPr>
          <w:rFonts w:hint="eastAsia"/>
        </w:rPr>
        <w:t>下列文件对于本文件的应用是必不可少的。凡是注日期的引用文件，仅所注日期的版本适用于本文件；凡是不注日期的引用文件，其最新版本（包括所有的修改单）适用于本文件。</w:t>
      </w:r>
    </w:p>
    <w:bookmarkEnd w:id="1"/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GB 5009.3 食品安全国家标准 食品中水分的测定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>GB 5009.4 食品安全国家标准 食品中灰分的测定</w:t>
      </w:r>
    </w:p>
    <w:p>
      <w:pPr>
        <w:adjustRightInd w:val="0"/>
        <w:ind w:firstLine="420"/>
        <w:rPr>
          <w:rFonts w:hAnsi="宋体" w:cs="宋体"/>
          <w:szCs w:val="21"/>
          <w:highlight w:val="yellow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GB/T 191 包装储运图示标志</w:t>
      </w:r>
    </w:p>
    <w:p>
      <w:pPr>
        <w:pStyle w:val="57"/>
        <w:ind w:firstLine="420"/>
        <w:rPr>
          <w:rFonts w:hAnsi="宋体" w:cs="宋体"/>
        </w:rPr>
      </w:pPr>
      <w:r>
        <w:rPr>
          <w:rFonts w:hAnsi="宋体" w:cs="宋体"/>
          <w:szCs w:val="21"/>
          <w:lang w:val="zh-CN"/>
        </w:rPr>
        <w:t>GB/T 6682</w:t>
      </w:r>
      <w:r>
        <w:rPr>
          <w:rFonts w:hAnsi="宋体" w:cs="宋体"/>
          <w:szCs w:val="21"/>
        </w:rPr>
        <w:t xml:space="preserve"> </w:t>
      </w:r>
      <w:r>
        <w:rPr>
          <w:rFonts w:hint="eastAsia" w:hAnsi="宋体" w:cs="宋体"/>
          <w:kern w:val="2"/>
          <w:szCs w:val="21"/>
          <w:lang w:val="zh-CN"/>
        </w:rPr>
        <w:t>分析实验室用水规格和试验方法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>JJF 1070 定量包装产品净含量计算检验规则</w:t>
      </w:r>
    </w:p>
    <w:p>
      <w:pPr>
        <w:pStyle w:val="57"/>
        <w:ind w:firstLine="315" w:firstLineChars="15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《化妆品安全技术规范》（2015年版）（国家食品药品监督管理总局公告 2015 年第 268 号）</w:t>
      </w:r>
    </w:p>
    <w:p>
      <w:pPr>
        <w:pStyle w:val="57"/>
        <w:ind w:firstLine="315" w:firstLineChars="15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《中华人民共和国药典》</w:t>
      </w:r>
      <w:r>
        <w:rPr>
          <w:rFonts w:hAnsi="宋体" w:cs="宋体"/>
          <w:szCs w:val="21"/>
        </w:rPr>
        <w:t>2020年</w:t>
      </w:r>
    </w:p>
    <w:p>
      <w:pPr>
        <w:pStyle w:val="57"/>
        <w:ind w:firstLine="315" w:firstLineChars="150"/>
        <w:rPr>
          <w:rFonts w:hint="eastAsia" w:hAnsi="宋体" w:eastAsia="宋体" w:cs="宋体"/>
          <w:szCs w:val="21"/>
          <w:lang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</w:rPr>
        <w:t>化妆品生产质量管理规范</w:t>
      </w:r>
      <w:r>
        <w:rPr>
          <w:rFonts w:hint="eastAsia"/>
          <w:lang w:eastAsia="zh-CN"/>
        </w:rPr>
        <w:t>》（</w:t>
      </w:r>
      <w:r>
        <w:rPr>
          <w:rFonts w:hint="eastAsia"/>
          <w:lang w:val="en-US" w:eastAsia="zh-CN"/>
        </w:rPr>
        <w:t>国家药品监督管理局公告2022年第 1 号</w:t>
      </w:r>
      <w:r>
        <w:rPr>
          <w:rFonts w:hint="eastAsia"/>
          <w:lang w:eastAsia="zh-CN"/>
        </w:rPr>
        <w:t>）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术语和定义</w:t>
      </w:r>
    </w:p>
    <w:p>
      <w:pPr>
        <w:pStyle w:val="57"/>
        <w:ind w:firstLine="420"/>
      </w:pPr>
      <w:r>
        <w:rPr>
          <w:rFonts w:hint="eastAsia"/>
        </w:rPr>
        <w:t>下列术语和定义适用于本文件。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3.1 批 batch</w:t>
      </w:r>
    </w:p>
    <w:p>
      <w:pPr>
        <w:pStyle w:val="57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在同一生产周期、同一工艺过程内生产的，质量具有均一性的一定数量的</w:t>
      </w:r>
      <w:r>
        <w:rPr>
          <w:rFonts w:hint="eastAsia" w:hAnsi="宋体" w:cs="宋体"/>
          <w:sz w:val="21"/>
          <w:szCs w:val="21"/>
          <w:lang w:val="en-US" w:eastAsia="zh-CN"/>
        </w:rPr>
        <w:t>产品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57"/>
        <w:ind w:firstLine="210" w:firstLineChars="100"/>
      </w:pPr>
      <w:r>
        <w:rPr>
          <w:rFonts w:hint="eastAsia"/>
        </w:rPr>
        <w:t>[来源：《</w:t>
      </w:r>
      <w:r>
        <w:rPr>
          <w:rFonts w:hint="eastAsia"/>
          <w:lang w:val="en-US" w:eastAsia="zh-CN"/>
        </w:rPr>
        <w:t>化妆品生产质量管理规范</w:t>
      </w:r>
      <w:r>
        <w:rPr>
          <w:rFonts w:hint="eastAsia"/>
        </w:rPr>
        <w:t>》，第</w:t>
      </w:r>
      <w:r>
        <w:rPr>
          <w:rFonts w:hint="eastAsia"/>
          <w:lang w:val="en-US" w:eastAsia="zh-CN"/>
        </w:rPr>
        <w:t>六十四</w:t>
      </w:r>
      <w:r>
        <w:rPr>
          <w:rFonts w:hint="eastAsia"/>
        </w:rPr>
        <w:t>条，有修改]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基本信息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中文名称：N-乙酰神经氨酸</w:t>
      </w:r>
      <w:bookmarkStart w:id="3" w:name="_GoBack"/>
      <w:bookmarkEnd w:id="3"/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中文别名：燕窝酸、燕窝素、唾液酸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 xml:space="preserve">INCI名称：Acetylneuramini Acidc                  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分子式：C</w:t>
      </w:r>
      <w:r>
        <w:rPr>
          <w:rFonts w:hint="eastAsia" w:hAnsi="宋体" w:cs="宋体"/>
          <w:szCs w:val="21"/>
          <w:vertAlign w:val="subscript"/>
        </w:rPr>
        <w:t>11</w:t>
      </w:r>
      <w:r>
        <w:rPr>
          <w:rFonts w:hint="eastAsia" w:hAnsi="宋体" w:cs="宋体"/>
          <w:szCs w:val="21"/>
        </w:rPr>
        <w:t>H</w:t>
      </w:r>
      <w:r>
        <w:rPr>
          <w:rFonts w:hint="eastAsia" w:hAnsi="宋体" w:cs="宋体"/>
          <w:szCs w:val="21"/>
          <w:vertAlign w:val="subscript"/>
        </w:rPr>
        <w:t>19</w:t>
      </w:r>
      <w:r>
        <w:rPr>
          <w:rFonts w:hint="eastAsia" w:hAnsi="宋体" w:cs="宋体"/>
          <w:szCs w:val="21"/>
        </w:rPr>
        <w:t>NO</w:t>
      </w:r>
      <w:r>
        <w:rPr>
          <w:rFonts w:hint="eastAsia" w:hAnsi="宋体" w:cs="宋体"/>
          <w:szCs w:val="21"/>
          <w:vertAlign w:val="subscript"/>
        </w:rPr>
        <w:t>9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分子量：309.27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CAS号：131-48-6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化学结构式：</w:t>
      </w:r>
    </w:p>
    <w:p>
      <w:pPr>
        <w:pStyle w:val="57"/>
        <w:ind w:firstLine="440"/>
        <w:rPr>
          <w:rFonts w:ascii="Times New Roman"/>
          <w:sz w:val="22"/>
          <w:szCs w:val="22"/>
        </w:rPr>
      </w:pPr>
    </w:p>
    <w:p>
      <w:pPr>
        <w:pStyle w:val="57"/>
        <w:ind w:firstLine="420"/>
        <w:jc w:val="center"/>
        <w:rPr>
          <w:rFonts w:ascii="Times New Roman"/>
          <w:sz w:val="22"/>
          <w:szCs w:val="22"/>
        </w:rPr>
      </w:pPr>
      <w:r>
        <w:drawing>
          <wp:inline distT="0" distB="0" distL="0" distR="0">
            <wp:extent cx="1470025" cy="1040765"/>
            <wp:effectExtent l="0" t="0" r="0" b="10795"/>
            <wp:docPr id="16" name="Picture 1" descr="131-48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 descr="131-48-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0025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技术要求</w:t>
      </w:r>
    </w:p>
    <w:p>
      <w:pPr>
        <w:pStyle w:val="56"/>
        <w:spacing w:before="156" w:beforeLines="50" w:after="156" w:afterLines="50"/>
      </w:pPr>
      <w:r>
        <w:rPr>
          <w:rFonts w:hint="eastAsia"/>
        </w:rPr>
        <w:t>感官、理化指标</w:t>
      </w:r>
    </w:p>
    <w:p>
      <w:pPr>
        <w:pStyle w:val="57"/>
        <w:ind w:firstLine="420"/>
      </w:pPr>
      <w:r>
        <w:rPr>
          <w:rFonts w:hint="eastAsia" w:hAnsi="宋体"/>
        </w:rPr>
        <w:t>感官、理化指标详见表1。</w:t>
      </w:r>
    </w:p>
    <w:p>
      <w:pPr>
        <w:pStyle w:val="76"/>
        <w:spacing w:before="156" w:beforeLines="50" w:after="156" w:afterLines="50"/>
      </w:pPr>
      <w:r>
        <w:rPr>
          <w:rFonts w:hint="eastAsia" w:hAnsi="宋体"/>
        </w:rPr>
        <w:t>表1</w:t>
      </w:r>
      <w:r>
        <w:rPr>
          <w:rFonts w:hint="eastAsia"/>
        </w:rPr>
        <w:t xml:space="preserve">化妆品用原料 </w:t>
      </w:r>
      <w:r>
        <w:rPr>
          <w:rFonts w:hint="eastAsia" w:hAnsi="宋体" w:cs="宋体"/>
          <w:szCs w:val="21"/>
        </w:rPr>
        <w:t>N-乙酰神经氨酸感官、理化指标</w:t>
      </w:r>
    </w:p>
    <w:tbl>
      <w:tblPr>
        <w:tblStyle w:val="3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118"/>
        <w:gridCol w:w="38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67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382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颜色</w:t>
            </w:r>
          </w:p>
        </w:tc>
        <w:tc>
          <w:tcPr>
            <w:tcW w:w="382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白色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气味</w:t>
            </w:r>
          </w:p>
        </w:tc>
        <w:tc>
          <w:tcPr>
            <w:tcW w:w="382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无特殊气味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性状</w:t>
            </w:r>
          </w:p>
        </w:tc>
        <w:tc>
          <w:tcPr>
            <w:tcW w:w="382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均匀粉末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N-乙酰神经氨酸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含量/%</w:t>
            </w:r>
          </w:p>
        </w:tc>
        <w:tc>
          <w:tcPr>
            <w:tcW w:w="3821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≥98.0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pH值（2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%水溶液）</w:t>
            </w:r>
          </w:p>
        </w:tc>
        <w:tc>
          <w:tcPr>
            <w:tcW w:w="382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1.8～2.3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水分/%</w:t>
            </w:r>
          </w:p>
        </w:tc>
        <w:tc>
          <w:tcPr>
            <w:tcW w:w="382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灰分/%</w:t>
            </w:r>
          </w:p>
        </w:tc>
        <w:tc>
          <w:tcPr>
            <w:tcW w:w="382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≤1.0</w:t>
            </w:r>
          </w:p>
        </w:tc>
      </w:tr>
    </w:tbl>
    <w:p>
      <w:pPr>
        <w:spacing w:before="156" w:beforeLines="50" w:after="156" w:afterLines="50"/>
        <w:rPr>
          <w:rFonts w:ascii="黑体" w:eastAsia="黑体"/>
          <w:kern w:val="21"/>
        </w:rPr>
      </w:pPr>
      <w:r>
        <w:rPr>
          <w:rFonts w:hint="eastAsia" w:ascii="黑体" w:eastAsia="黑体"/>
          <w:kern w:val="21"/>
        </w:rPr>
        <w:t>5.2　微生物及有害物质指标</w:t>
      </w:r>
    </w:p>
    <w:p>
      <w:pPr>
        <w:spacing w:before="156" w:beforeLines="50" w:after="156" w:afterLines="50"/>
        <w:ind w:firstLine="420" w:firstLineChars="200"/>
        <w:rPr>
          <w:rFonts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微生物及有害物质指标详见表2。</w:t>
      </w:r>
    </w:p>
    <w:p>
      <w:pPr>
        <w:spacing w:before="156" w:beforeLines="50" w:after="156" w:afterLines="50"/>
        <w:jc w:val="center"/>
        <w:rPr>
          <w:rFonts w:ascii="黑体" w:eastAsia="黑体"/>
          <w:kern w:val="21"/>
        </w:rPr>
      </w:pPr>
      <w:r>
        <w:rPr>
          <w:rFonts w:hint="eastAsia" w:ascii="黑体" w:eastAsia="黑体"/>
          <w:kern w:val="21"/>
        </w:rPr>
        <w:t>表2 化妆品用原料 N-乙酰神经氨酸微生物及有害物质指标</w:t>
      </w:r>
    </w:p>
    <w:tbl>
      <w:tblPr>
        <w:tblStyle w:val="3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3246"/>
        <w:gridCol w:w="355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440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微生物及有害物质指标</w:t>
            </w: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菌落总数/（CFU/g）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＜500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霉菌和酵母菌总数/（CFU/g）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＜100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耐热大肠菌群/g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金黄色葡萄球菌/g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铜绿假单胞菌/g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汞/（mg/kg）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铅/（mg/kg）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10.0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镉/（mg/kg）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5.0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砷/（mg/kg）</w:t>
            </w:r>
          </w:p>
        </w:tc>
        <w:tc>
          <w:tcPr>
            <w:tcW w:w="355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2.0</w:t>
            </w:r>
          </w:p>
        </w:tc>
      </w:tr>
    </w:tbl>
    <w:p>
      <w:pPr>
        <w:pStyle w:val="90"/>
        <w:numPr>
          <w:ilvl w:val="255"/>
          <w:numId w:val="0"/>
        </w:numPr>
        <w:spacing w:before="312" w:beforeLines="100" w:after="312" w:afterLines="100"/>
      </w:pPr>
    </w:p>
    <w:p>
      <w:pPr>
        <w:pStyle w:val="90"/>
        <w:spacing w:before="312" w:beforeLines="100" w:after="312" w:afterLines="100"/>
      </w:pPr>
      <w:r>
        <w:rPr>
          <w:rFonts w:hint="eastAsia"/>
        </w:rPr>
        <w:t>试验方法</w:t>
      </w:r>
    </w:p>
    <w:p>
      <w:pPr>
        <w:pStyle w:val="56"/>
        <w:spacing w:before="156" w:beforeLines="50" w:after="156" w:afterLines="50"/>
        <w:rPr>
          <w:rFonts w:ascii="宋体" w:hAnsi="宋体"/>
        </w:rPr>
      </w:pPr>
      <w:r>
        <w:rPr>
          <w:rFonts w:hint="eastAsia" w:ascii="宋体" w:hAnsi="宋体"/>
        </w:rPr>
        <w:t>感官指标判定</w:t>
      </w:r>
    </w:p>
    <w:p>
      <w:pPr>
        <w:pStyle w:val="61"/>
        <w:numPr>
          <w:ilvl w:val="0"/>
          <w:numId w:val="0"/>
        </w:num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取试样10 g，置于平皿中，于自然光线下采用目测的方法观察其色泽及外观形态，采用鼻嗅的方法检查气味。</w:t>
      </w:r>
    </w:p>
    <w:p>
      <w:pPr>
        <w:pStyle w:val="56"/>
        <w:spacing w:before="156" w:beforeLines="50" w:after="156" w:afterLines="50"/>
      </w:pPr>
      <w:r>
        <w:rPr>
          <w:rFonts w:hint="eastAsia"/>
        </w:rPr>
        <w:t>理化指标判定</w:t>
      </w: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3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3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3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61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 含量的测定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6.2.1.1 方法提要</w:t>
      </w:r>
    </w:p>
    <w:p>
      <w:pPr>
        <w:pStyle w:val="57"/>
        <w:ind w:firstLine="420"/>
      </w:pPr>
      <w:r>
        <w:rPr>
          <w:rFonts w:asciiTheme="minorEastAsia" w:hAnsiTheme="minorEastAsia" w:eastAsiaTheme="minorEastAsia"/>
          <w:szCs w:val="21"/>
        </w:rPr>
        <w:t>N-</w:t>
      </w:r>
      <w:r>
        <w:rPr>
          <w:rFonts w:hint="eastAsia" w:asciiTheme="minorEastAsia" w:hAnsiTheme="minorEastAsia" w:eastAsiaTheme="minorEastAsia"/>
          <w:szCs w:val="21"/>
        </w:rPr>
        <w:t>乙酰神经氨酸溶于纯化水后，在</w:t>
      </w:r>
      <w:r>
        <w:rPr>
          <w:rFonts w:asciiTheme="minorEastAsia" w:hAnsiTheme="minorEastAsia" w:eastAsiaTheme="minorEastAsia"/>
          <w:szCs w:val="21"/>
        </w:rPr>
        <w:t>210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nm波长下，检测N-乙酰神经氨酸的吸收峰，通过标准曲线法，计算出N-乙酰神经氨酸的含量。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6.2.1.2 试剂和仪器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分析天平：</w:t>
      </w:r>
      <w:r>
        <w:rPr>
          <w:rFonts w:hint="eastAsia" w:hAnsi="宋体" w:cs="宋体"/>
        </w:rPr>
        <w:t>精度0.0001</w:t>
      </w:r>
      <w:r>
        <w:rPr>
          <w:rFonts w:hint="eastAsia"/>
        </w:rPr>
        <w:t> </w:t>
      </w:r>
      <w:r>
        <w:rPr>
          <w:rFonts w:hint="eastAsia" w:hAnsi="宋体" w:cs="宋体"/>
        </w:rPr>
        <w:t>g；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</w:rPr>
        <w:t>硫酸，色谱纯；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纯化水；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容量瓶；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</w:rPr>
        <w:t>0.22</w:t>
      </w:r>
      <w:r>
        <w:rPr>
          <w:rFonts w:hint="eastAsia"/>
        </w:rPr>
        <w:t> </w:t>
      </w:r>
      <w:r>
        <w:rPr>
          <w:rFonts w:ascii="Times New Roman"/>
        </w:rPr>
        <w:t>μ</w:t>
      </w:r>
      <w:r>
        <w:rPr>
          <w:rFonts w:hint="eastAsia" w:hAnsi="宋体" w:cs="宋体"/>
        </w:rPr>
        <w:t>m水性滤膜；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</w:rPr>
        <w:t>超声波脱气装置</w:t>
      </w:r>
      <w:r>
        <w:rPr>
          <w:rFonts w:hint="eastAsia" w:hAnsi="宋体" w:cs="宋体"/>
          <w:lang w:val="zh-CN"/>
        </w:rPr>
        <w:t>；</w:t>
      </w:r>
    </w:p>
    <w:p>
      <w:pPr>
        <w:numPr>
          <w:ilvl w:val="0"/>
          <w:numId w:val="14"/>
        </w:numPr>
        <w:rPr>
          <w:rFonts w:ascii="宋体" w:hAnsi="宋体" w:cs="宋体"/>
          <w:kern w:val="0"/>
          <w:szCs w:val="20"/>
          <w:lang w:val="zh-CN"/>
        </w:rPr>
      </w:pPr>
      <w:r>
        <w:rPr>
          <w:rFonts w:hint="eastAsia" w:ascii="宋体" w:hAnsi="宋体" w:cs="宋体"/>
          <w:kern w:val="0"/>
          <w:szCs w:val="20"/>
        </w:rPr>
        <w:t>抽滤瓶</w:t>
      </w:r>
      <w:r>
        <w:rPr>
          <w:rFonts w:hint="eastAsia" w:ascii="宋体" w:hAnsi="宋体" w:cs="宋体"/>
          <w:kern w:val="0"/>
          <w:szCs w:val="20"/>
          <w:lang w:val="zh-CN"/>
        </w:rPr>
        <w:t>；</w:t>
      </w:r>
    </w:p>
    <w:p>
      <w:pPr>
        <w:numPr>
          <w:ilvl w:val="0"/>
          <w:numId w:val="14"/>
        </w:numPr>
        <w:rPr>
          <w:rFonts w:ascii="宋体" w:hAnsi="宋体" w:cs="宋体"/>
          <w:kern w:val="0"/>
          <w:szCs w:val="20"/>
          <w:lang w:val="zh-CN"/>
        </w:rPr>
      </w:pPr>
      <w:r>
        <w:rPr>
          <w:rFonts w:hAnsi="宋体" w:cs="宋体"/>
        </w:rPr>
        <w:t>N-</w:t>
      </w:r>
      <w:r>
        <w:rPr>
          <w:rFonts w:hint="eastAsia" w:hAnsi="宋体" w:cs="宋体"/>
        </w:rPr>
        <w:t>乙酰神经氨酸</w:t>
      </w:r>
      <w:r>
        <w:rPr>
          <w:rFonts w:hint="eastAsia" w:hAnsi="宋体" w:cs="宋体"/>
          <w:lang w:val="zh-CN"/>
        </w:rPr>
        <w:t>标准品：</w:t>
      </w:r>
      <w:r>
        <w:rPr>
          <w:rFonts w:hint="eastAsia" w:hAnsi="宋体" w:cs="宋体"/>
        </w:rPr>
        <w:t>纯度不小于</w:t>
      </w:r>
      <w:r>
        <w:rPr>
          <w:rFonts w:ascii="宋体" w:hAnsi="宋体" w:cs="宋体"/>
          <w:kern w:val="0"/>
          <w:szCs w:val="20"/>
        </w:rPr>
        <w:t>98.0%</w:t>
      </w:r>
      <w:r>
        <w:rPr>
          <w:rFonts w:hint="eastAsia" w:hAnsi="宋体" w:cs="宋体"/>
          <w:lang w:val="zh-CN"/>
        </w:rPr>
        <w:t>，</w:t>
      </w:r>
      <w:r>
        <w:rPr>
          <w:rFonts w:hint="eastAsia" w:hAnsi="宋体" w:cs="宋体"/>
        </w:rPr>
        <w:t>含量精确到</w:t>
      </w:r>
      <w:r>
        <w:rPr>
          <w:rFonts w:ascii="宋体" w:hAnsi="宋体" w:cs="宋体"/>
          <w:kern w:val="0"/>
          <w:szCs w:val="20"/>
        </w:rPr>
        <w:t>0.01%；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</w:rPr>
        <w:t>控制样：经过多次检测含量稳定的</w:t>
      </w:r>
      <w:r>
        <w:rPr>
          <w:rFonts w:hAnsi="宋体" w:cs="宋体"/>
          <w:szCs w:val="21"/>
        </w:rPr>
        <w:t>N-乙酰神经氨酸</w:t>
      </w:r>
      <w:r>
        <w:rPr>
          <w:rFonts w:hint="eastAsia" w:hAnsi="宋体" w:cs="宋体"/>
        </w:rPr>
        <w:t>产品。控制样提前进行小样分装；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</w:rPr>
        <w:t>流动相：称取色谱纯硫酸</w:t>
      </w:r>
      <w:r>
        <w:rPr>
          <w:rFonts w:hAnsi="宋体" w:cs="宋体"/>
        </w:rPr>
        <w:t>0.500</w:t>
      </w:r>
      <w:r>
        <w:rPr>
          <w:rFonts w:hint="eastAsia" w:hAnsi="宋体" w:cs="宋体"/>
        </w:rPr>
        <w:t xml:space="preserve"> </w:t>
      </w:r>
      <w:r>
        <w:rPr>
          <w:rFonts w:hAnsi="宋体" w:cs="宋体"/>
        </w:rPr>
        <w:t>g</w:t>
      </w:r>
      <w:r>
        <w:rPr>
          <w:rFonts w:hint="eastAsia" w:hAnsi="宋体" w:cs="宋体"/>
        </w:rPr>
        <w:t>，加纯化水溶解，定容至</w:t>
      </w:r>
      <w:r>
        <w:rPr>
          <w:rFonts w:hAnsi="宋体" w:cs="宋体"/>
        </w:rPr>
        <w:t>1000</w:t>
      </w:r>
      <w:r>
        <w:rPr>
          <w:rFonts w:hint="eastAsia" w:hAnsi="宋体" w:cs="宋体"/>
        </w:rPr>
        <w:t xml:space="preserve"> </w:t>
      </w:r>
      <w:r>
        <w:rPr>
          <w:rFonts w:hAnsi="宋体" w:cs="宋体"/>
        </w:rPr>
        <w:t>mL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0.22</w:t>
      </w:r>
      <w:r>
        <w:rPr>
          <w:rFonts w:hint="eastAsia" w:hAnsi="宋体" w:cs="宋体"/>
        </w:rPr>
        <w:t xml:space="preserve"> </w:t>
      </w:r>
      <w:r>
        <w:rPr>
          <w:rFonts w:ascii="Times New Roman"/>
        </w:rPr>
        <w:t>μ</w:t>
      </w:r>
      <w:r>
        <w:rPr>
          <w:rFonts w:hint="eastAsia" w:hAnsi="宋体" w:cs="宋体"/>
        </w:rPr>
        <w:t>m水性滤膜过滤，超声波脱气</w:t>
      </w:r>
      <w:r>
        <w:rPr>
          <w:rFonts w:hAnsi="宋体" w:cs="宋体"/>
        </w:rPr>
        <w:t>10min</w:t>
      </w:r>
      <w:r>
        <w:rPr>
          <w:rFonts w:hint="eastAsia" w:hAnsi="宋体" w:cs="宋体"/>
        </w:rPr>
        <w:t>，得</w:t>
      </w:r>
      <w:r>
        <w:rPr>
          <w:rFonts w:hAnsi="宋体" w:cs="宋体"/>
        </w:rPr>
        <w:t>0.005</w:t>
      </w:r>
      <w:r>
        <w:rPr>
          <w:rFonts w:hint="eastAsia" w:hAnsi="宋体" w:cs="宋体"/>
        </w:rPr>
        <w:t xml:space="preserve"> </w:t>
      </w:r>
      <w:r>
        <w:rPr>
          <w:rFonts w:hAnsi="宋体" w:cs="宋体"/>
        </w:rPr>
        <w:t>M</w:t>
      </w:r>
      <w:r>
        <w:rPr>
          <w:rFonts w:hint="eastAsia" w:hAnsi="宋体" w:cs="宋体"/>
        </w:rPr>
        <w:t>的硫酸水溶液；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高效液相色谱仪；</w:t>
      </w:r>
    </w:p>
    <w:p>
      <w:pPr>
        <w:pStyle w:val="101"/>
        <w:numPr>
          <w:ilvl w:val="0"/>
          <w:numId w:val="14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</w:rPr>
        <w:t>微量注射进样器。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6.2.1.3 色谱条件</w:t>
      </w:r>
    </w:p>
    <w:p>
      <w:pPr>
        <w:pStyle w:val="101"/>
        <w:numPr>
          <w:ilvl w:val="0"/>
          <w:numId w:val="15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色谱柱：Aminex HPX-87H，</w:t>
      </w:r>
      <w:r>
        <w:rPr>
          <w:rFonts w:hint="eastAsia" w:hAnsi="宋体" w:cs="宋体"/>
        </w:rPr>
        <w:t>300 mm</w:t>
      </w:r>
      <w:r>
        <w:rPr>
          <w:rFonts w:hAnsi="宋体" w:cs="宋体"/>
          <w:lang w:val="zh-CN"/>
        </w:rPr>
        <w:t>×</w:t>
      </w:r>
      <w:r>
        <w:rPr>
          <w:rFonts w:hint="eastAsia" w:hAnsi="宋体" w:cs="宋体"/>
        </w:rPr>
        <w:t>7.8</w:t>
      </w:r>
      <w:r>
        <w:rPr>
          <w:rFonts w:hint="eastAsia"/>
        </w:rPr>
        <w:t> </w:t>
      </w:r>
      <w:r>
        <w:rPr>
          <w:rFonts w:hAnsi="宋体" w:cs="宋体"/>
          <w:lang w:val="zh-CN"/>
        </w:rPr>
        <w:t>mm</w:t>
      </w:r>
      <w:r>
        <w:rPr>
          <w:rFonts w:hint="eastAsia" w:hAnsi="宋体" w:cs="宋体"/>
          <w:lang w:val="zh-CN"/>
        </w:rPr>
        <w:t>（catalog#125-0140），或同等柱效色谱柱；</w:t>
      </w:r>
    </w:p>
    <w:p>
      <w:pPr>
        <w:pStyle w:val="101"/>
        <w:numPr>
          <w:ilvl w:val="0"/>
          <w:numId w:val="15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检测器：UV检测器；</w:t>
      </w:r>
    </w:p>
    <w:p>
      <w:pPr>
        <w:pStyle w:val="101"/>
        <w:numPr>
          <w:ilvl w:val="0"/>
          <w:numId w:val="15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</w:rPr>
        <w:t>测定波长：210 nm；</w:t>
      </w:r>
    </w:p>
    <w:p>
      <w:pPr>
        <w:pStyle w:val="101"/>
        <w:numPr>
          <w:ilvl w:val="0"/>
          <w:numId w:val="15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流速：</w:t>
      </w:r>
      <w:r>
        <w:rPr>
          <w:rFonts w:hint="eastAsia" w:hAnsi="宋体" w:cs="宋体"/>
        </w:rPr>
        <w:t>0</w:t>
      </w:r>
      <w:r>
        <w:rPr>
          <w:rFonts w:hint="eastAsia" w:hAnsi="宋体" w:cs="宋体"/>
          <w:lang w:val="zh-CN"/>
        </w:rPr>
        <w:t>.</w:t>
      </w:r>
      <w:r>
        <w:rPr>
          <w:rFonts w:hint="eastAsia" w:hAnsi="宋体" w:cs="宋体"/>
        </w:rPr>
        <w:t>6</w:t>
      </w:r>
      <w:r>
        <w:rPr>
          <w:rFonts w:hint="eastAsia" w:hAnsi="宋体" w:cs="宋体"/>
          <w:lang w:val="zh-CN"/>
        </w:rPr>
        <w:t>0</w:t>
      </w:r>
      <w:r>
        <w:rPr>
          <w:rFonts w:hint="eastAsia"/>
        </w:rPr>
        <w:t> </w:t>
      </w:r>
      <w:r>
        <w:rPr>
          <w:rFonts w:hint="eastAsia" w:hAnsi="宋体" w:cs="宋体"/>
          <w:lang w:val="zh-CN"/>
        </w:rPr>
        <w:t>ml/min；</w:t>
      </w:r>
    </w:p>
    <w:p>
      <w:pPr>
        <w:pStyle w:val="101"/>
        <w:numPr>
          <w:ilvl w:val="0"/>
          <w:numId w:val="15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柱温：</w:t>
      </w:r>
      <w:r>
        <w:rPr>
          <w:rFonts w:hint="eastAsia" w:hAnsi="宋体" w:cs="宋体"/>
        </w:rPr>
        <w:t>60 ℃</w:t>
      </w:r>
      <w:r>
        <w:rPr>
          <w:rFonts w:hint="eastAsia" w:hAnsi="宋体" w:cs="宋体"/>
          <w:lang w:val="zh-CN"/>
        </w:rPr>
        <w:t>；</w:t>
      </w:r>
    </w:p>
    <w:p>
      <w:pPr>
        <w:pStyle w:val="101"/>
        <w:numPr>
          <w:ilvl w:val="0"/>
          <w:numId w:val="15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进样量：20</w:t>
      </w:r>
      <w:r>
        <w:rPr>
          <w:rFonts w:hint="eastAsia"/>
        </w:rPr>
        <w:t> </w:t>
      </w:r>
      <w:r>
        <w:rPr>
          <w:rFonts w:hint="eastAsia" w:hAnsi="宋体" w:cs="宋体"/>
          <w:lang w:val="zh-CN"/>
        </w:rPr>
        <w:t>ul。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6.2.1.4 操作过程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6.2.1.4.1</w:t>
      </w:r>
      <w:r>
        <w:rPr>
          <w:rFonts w:hint="eastAsia" w:ascii="黑体" w:hAnsi="黑体" w:cs="黑体"/>
          <w:szCs w:val="21"/>
        </w:rPr>
        <w:t>标准系列溶液的制备（标准曲线法）</w:t>
      </w:r>
    </w:p>
    <w:p>
      <w:pPr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szCs w:val="21"/>
        </w:rPr>
        <w:t>称取</w:t>
      </w:r>
      <w:r>
        <w:rPr>
          <w:rFonts w:ascii="宋体" w:hAnsi="宋体" w:cs="宋体"/>
          <w:szCs w:val="21"/>
        </w:rPr>
        <w:t>N-乙酰神经氨酸</w:t>
      </w:r>
      <w:r>
        <w:rPr>
          <w:rFonts w:hint="eastAsia" w:ascii="宋体" w:hAnsi="宋体" w:cs="宋体"/>
          <w:szCs w:val="21"/>
        </w:rPr>
        <w:t>标准品</w:t>
      </w:r>
      <w:r>
        <w:rPr>
          <w:rFonts w:ascii="宋体" w:hAnsi="宋体" w:cs="宋体"/>
          <w:szCs w:val="21"/>
        </w:rPr>
        <w:t>0.025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g（精确到0.0001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g），用纯化水溶解，并</w:t>
      </w:r>
      <w:r>
        <w:rPr>
          <w:rFonts w:hint="eastAsia" w:ascii="宋体" w:hAnsi="宋体" w:cs="宋体"/>
          <w:szCs w:val="21"/>
        </w:rPr>
        <w:t>定容至</w:t>
      </w:r>
      <w:r>
        <w:rPr>
          <w:rFonts w:ascii="宋体" w:hAnsi="宋体" w:cs="宋体"/>
          <w:szCs w:val="21"/>
        </w:rPr>
        <w:t>25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ml，配成1.0000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g/L</w:t>
      </w:r>
      <w:r>
        <w:rPr>
          <w:rFonts w:hint="eastAsia" w:ascii="宋体" w:hAnsi="宋体" w:cs="宋体"/>
          <w:szCs w:val="21"/>
        </w:rPr>
        <w:t>母液。取母液</w:t>
      </w:r>
      <w:r>
        <w:rPr>
          <w:rFonts w:ascii="宋体" w:hAnsi="宋体" w:cs="宋体"/>
          <w:szCs w:val="21"/>
        </w:rPr>
        <w:t>1.00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ml、2.00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ml、3.00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ml、4.00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ml、5.00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ml置于10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ml容量瓶中，</w:t>
      </w:r>
      <w:r>
        <w:rPr>
          <w:rFonts w:hint="eastAsia" w:ascii="宋体" w:hAnsi="宋体" w:cs="宋体"/>
          <w:szCs w:val="21"/>
        </w:rPr>
        <w:t>定容至刻度，得到浓度分别为</w:t>
      </w:r>
      <w:r>
        <w:rPr>
          <w:rFonts w:ascii="宋体" w:hAnsi="宋体" w:cs="宋体"/>
          <w:szCs w:val="21"/>
        </w:rPr>
        <w:t>0.1000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g/L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0.2000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g/L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0.3000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g/L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0.4000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g/L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0.5000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g/L</w:t>
      </w:r>
      <w:r>
        <w:rPr>
          <w:rFonts w:hint="eastAsia" w:ascii="宋体" w:hAnsi="宋体" w:cs="宋体"/>
          <w:szCs w:val="21"/>
        </w:rPr>
        <w:t>的</w:t>
      </w:r>
      <w:r>
        <w:rPr>
          <w:rFonts w:ascii="宋体" w:hAnsi="宋体" w:cs="宋体"/>
          <w:szCs w:val="21"/>
        </w:rPr>
        <w:t>N-乙酰神经氨酸标准系列溶液。</w:t>
      </w:r>
    </w:p>
    <w:p>
      <w:pPr>
        <w:pStyle w:val="119"/>
        <w:spacing w:line="360" w:lineRule="auto"/>
        <w:ind w:firstLine="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cs="黑体"/>
        </w:rPr>
        <w:t>6.2.1.4.</w:t>
      </w:r>
      <w:r>
        <w:rPr>
          <w:rFonts w:ascii="黑体" w:hAnsi="黑体" w:cs="黑体"/>
        </w:rPr>
        <w:t>2</w:t>
      </w:r>
      <w:r>
        <w:rPr>
          <w:rFonts w:ascii="黑体" w:hAnsi="黑体" w:eastAsia="黑体" w:cs="黑体"/>
          <w:kern w:val="0"/>
        </w:rPr>
        <w:t xml:space="preserve"> </w:t>
      </w:r>
      <w:r>
        <w:rPr>
          <w:rFonts w:hint="eastAsia" w:ascii="黑体" w:hAnsi="黑体" w:eastAsia="黑体" w:cs="黑体"/>
          <w:kern w:val="0"/>
        </w:rPr>
        <w:t>样品溶液的制备</w:t>
      </w:r>
    </w:p>
    <w:p>
      <w:pPr>
        <w:ind w:firstLine="420" w:firstLineChars="200"/>
        <w:rPr>
          <w:rFonts w:ascii="黑体" w:hAnsi="黑体" w:cs="黑体"/>
          <w:highlight w:val="none"/>
        </w:rPr>
      </w:pPr>
      <w:r>
        <w:rPr>
          <w:rFonts w:hint="eastAsia" w:ascii="宋体" w:hAnsi="宋体" w:cs="宋体" w:eastAsiaTheme="minorEastAsia"/>
          <w:szCs w:val="21"/>
          <w:highlight w:val="none"/>
        </w:rPr>
        <w:t>称取供试样品</w:t>
      </w:r>
      <w:r>
        <w:rPr>
          <w:rFonts w:ascii="宋体" w:hAnsi="宋体" w:cs="宋体" w:eastAsiaTheme="minorEastAsia"/>
          <w:szCs w:val="21"/>
          <w:highlight w:val="none"/>
        </w:rPr>
        <w:t>0.05</w:t>
      </w:r>
      <w:r>
        <w:rPr>
          <w:rFonts w:hint="eastAsia" w:ascii="宋体" w:hAnsi="宋体" w:cs="宋体" w:eastAsiaTheme="minorEastAsia"/>
          <w:szCs w:val="21"/>
          <w:highlight w:val="none"/>
        </w:rPr>
        <w:t xml:space="preserve">0 </w:t>
      </w:r>
      <w:r>
        <w:rPr>
          <w:rFonts w:ascii="宋体" w:hAnsi="宋体" w:cs="宋体" w:eastAsiaTheme="minorEastAsia"/>
          <w:szCs w:val="21"/>
          <w:highlight w:val="none"/>
        </w:rPr>
        <w:t>g（精确到0.0001</w:t>
      </w:r>
      <w:r>
        <w:rPr>
          <w:rFonts w:hint="eastAsia" w:ascii="宋体" w:hAnsi="宋体" w:cs="宋体" w:eastAsiaTheme="minorEastAsia"/>
          <w:szCs w:val="21"/>
          <w:highlight w:val="none"/>
        </w:rPr>
        <w:t xml:space="preserve"> </w:t>
      </w:r>
      <w:r>
        <w:rPr>
          <w:rFonts w:ascii="宋体" w:hAnsi="宋体" w:cs="宋体" w:eastAsiaTheme="minorEastAsia"/>
          <w:szCs w:val="21"/>
          <w:highlight w:val="none"/>
        </w:rPr>
        <w:t>g），用纯化水溶解，并</w:t>
      </w:r>
      <w:r>
        <w:rPr>
          <w:rFonts w:hint="eastAsia" w:ascii="宋体" w:hAnsi="宋体" w:cs="宋体" w:eastAsiaTheme="minorEastAsia"/>
          <w:szCs w:val="21"/>
          <w:highlight w:val="none"/>
        </w:rPr>
        <w:t>定容至</w:t>
      </w:r>
      <w:r>
        <w:rPr>
          <w:rFonts w:ascii="宋体" w:hAnsi="宋体" w:cs="宋体" w:eastAsiaTheme="minorEastAsia"/>
          <w:szCs w:val="21"/>
          <w:highlight w:val="none"/>
        </w:rPr>
        <w:t>250</w:t>
      </w:r>
      <w:r>
        <w:rPr>
          <w:rFonts w:hint="eastAsia" w:ascii="宋体" w:hAnsi="宋体" w:cs="宋体" w:eastAsiaTheme="minorEastAsia"/>
          <w:szCs w:val="21"/>
          <w:highlight w:val="none"/>
        </w:rPr>
        <w:t xml:space="preserve"> </w:t>
      </w:r>
      <w:r>
        <w:rPr>
          <w:rFonts w:ascii="宋体" w:hAnsi="宋体" w:cs="宋体" w:eastAsiaTheme="minorEastAsia"/>
          <w:szCs w:val="21"/>
          <w:highlight w:val="none"/>
        </w:rPr>
        <w:t>ml，备用。同样方法处理控制样。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宋体" w:hAnsi="宋体" w:cs="宋体"/>
          <w:szCs w:val="21"/>
          <w:lang w:val="zh-CN"/>
        </w:rPr>
      </w:pPr>
      <w:r>
        <w:rPr>
          <w:rFonts w:hint="eastAsia" w:ascii="黑体" w:hAnsi="黑体" w:cs="黑体"/>
        </w:rPr>
        <w:t>6.2.1.4.</w:t>
      </w:r>
      <w:r>
        <w:rPr>
          <w:rFonts w:ascii="黑体" w:hAnsi="黑体" w:cs="黑体"/>
        </w:rPr>
        <w:t xml:space="preserve">3 </w:t>
      </w:r>
      <w:r>
        <w:rPr>
          <w:rFonts w:hint="eastAsia" w:ascii="黑体" w:hAnsi="黑体" w:cs="黑体"/>
        </w:rPr>
        <w:t>高效液相色谱仪的准备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按照仪器操作步骤，依次开启电脑、检测器等，打开在线分析程序。用流动相在低流速下（0.2 ml/min），打开柱温箱，升温到检测所需温度（60 ℃），在此温度下流动相流速0.2 ml/min平衡至少1h，然后再以每次0.05 ml/min 的升速升到0.6 ml/min（即改变流速0.2 ml/min, 0.25 ml/min, 0.30 ml/min, 0.35 ml/min, 0.40 ml/min, 0.45 ml/min, 0.50 ml/min, 0.55 ml/min, 0.60 ml/min），各流速下平衡3min至5min。此过程至少需0.5h以上，流速至0.6 ml/min后再平衡至少30min至基线和泵压稳定后即可测定。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szCs w:val="21"/>
        </w:rPr>
        <w:t>测定过程中，勿按泵停/开按钮，即不要流速猛增。测定完毕，流动相不变，流速降至0.2 ml/min，关闭柱温箱，冲洗至柱温不再变化、泵压不再变化后，关机。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ascii="黑体" w:hAnsi="黑体" w:cs="黑体"/>
        </w:rPr>
        <w:t>6.2.1.4.</w:t>
      </w:r>
      <w:r>
        <w:rPr>
          <w:rFonts w:hint="eastAsia" w:ascii="黑体" w:hAnsi="黑体" w:cs="黑体"/>
        </w:rPr>
        <w:t>4</w:t>
      </w:r>
      <w:r>
        <w:rPr>
          <w:rFonts w:ascii="黑体" w:hAnsi="黑体" w:cs="黑体"/>
        </w:rPr>
        <w:t xml:space="preserve"> </w:t>
      </w:r>
      <w:r>
        <w:rPr>
          <w:rFonts w:hint="eastAsia" w:ascii="黑体" w:hAnsi="黑体" w:cs="黑体"/>
        </w:rPr>
        <w:t>测定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ind w:firstLine="420" w:firstLineChars="200"/>
        <w:rPr>
          <w:rFonts w:ascii="宋体" w:hAnsi="宋体" w:eastAsia="宋体" w:cs="宋体"/>
          <w:kern w:val="2"/>
          <w:szCs w:val="21"/>
        </w:rPr>
      </w:pPr>
      <w:r>
        <w:rPr>
          <w:rFonts w:hint="eastAsia" w:ascii="宋体" w:hAnsi="宋体" w:eastAsia="宋体" w:cs="宋体"/>
          <w:kern w:val="2"/>
          <w:szCs w:val="21"/>
        </w:rPr>
        <w:t>用微量注射进样器吸取少量</w:t>
      </w:r>
      <w:r>
        <w:rPr>
          <w:rFonts w:hint="eastAsia" w:ascii="宋体" w:hAnsi="宋体" w:eastAsia="宋体" w:cs="宋体"/>
          <w:szCs w:val="21"/>
        </w:rPr>
        <w:t>标准系列溶液</w:t>
      </w:r>
      <w:r>
        <w:rPr>
          <w:rFonts w:hint="eastAsia" w:ascii="宋体" w:hAnsi="宋体" w:eastAsia="宋体" w:cs="宋体"/>
          <w:kern w:val="2"/>
          <w:szCs w:val="21"/>
        </w:rPr>
        <w:t xml:space="preserve">和样品溶液，0.22 </w:t>
      </w:r>
      <w:r>
        <w:t>μ</w:t>
      </w:r>
      <w:r>
        <w:rPr>
          <w:rFonts w:hint="eastAsia" w:hAnsi="宋体" w:cs="宋体"/>
        </w:rPr>
        <w:t>m</w:t>
      </w:r>
      <w:r>
        <w:rPr>
          <w:rFonts w:hint="eastAsia" w:ascii="宋体" w:hAnsi="宋体" w:eastAsia="宋体" w:cs="宋体"/>
          <w:kern w:val="2"/>
          <w:szCs w:val="21"/>
        </w:rPr>
        <w:t>水性滤膜过滤后先后测定。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6.2.1.4.5 结果计算</w:t>
      </w:r>
    </w:p>
    <w:p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根据标准系列溶液浓度和对应的色谱峰面积（保留时间约为8.35min，</w:t>
      </w:r>
      <w:r>
        <w:rPr>
          <w:rFonts w:ascii="宋体" w:hAnsi="宋体" w:cs="宋体"/>
          <w:szCs w:val="21"/>
        </w:rPr>
        <w:t>N-乙酰神经氨酸标准品的高效液相色谱标准图谱</w:t>
      </w:r>
      <w:r>
        <w:rPr>
          <w:rFonts w:hint="eastAsia" w:ascii="宋体" w:hAnsi="宋体" w:cs="宋体"/>
          <w:szCs w:val="21"/>
        </w:rPr>
        <w:t>见附录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）制作标准曲线，计算标准曲线方程，线性相关系数应不低于0.99。将样品溶液的色谱峰面积代入标准曲线方程，计算样品溶液的浓度。N-乙酰神经氨酸的含量以质量分数</w:t>
      </w:r>
      <w:r>
        <w:rPr>
          <w:rFonts w:hint="eastAsia" w:ascii="宋体" w:hAnsi="宋体" w:cs="宋体"/>
          <w:color w:val="000000"/>
          <w:kern w:val="0"/>
          <w:sz w:val="22"/>
        </w:rPr>
        <w:t>ω</w:t>
      </w:r>
      <w:r>
        <w:rPr>
          <w:rFonts w:hint="eastAsia" w:ascii="宋体" w:hAnsi="宋体" w:cs="宋体"/>
          <w:szCs w:val="21"/>
        </w:rPr>
        <w:t>计，数值以%表示，按下式计算：</w:t>
      </w:r>
    </w:p>
    <w:p>
      <w:pPr>
        <w:jc w:val="center"/>
        <w:rPr>
          <w:iCs/>
          <w:szCs w:val="21"/>
        </w:rPr>
      </w:pPr>
      <w:bookmarkStart w:id="2" w:name="_Hlk49329385"/>
      <w:r>
        <w:rPr>
          <w:rFonts w:hint="eastAsia"/>
          <w:position w:val="-30"/>
        </w:rPr>
        <w:object>
          <v:shape id="_x0000_i1025" o:spt="75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4">
            <o:LockedField>false</o:LockedField>
          </o:OLEObject>
        </w:object>
      </w:r>
    </w:p>
    <w:bookmarkEnd w:id="2"/>
    <w:p>
      <w:pPr>
        <w:numPr>
          <w:ilvl w:val="0"/>
          <w:numId w:val="13"/>
        </w:numPr>
        <w:rPr>
          <w:szCs w:val="21"/>
        </w:rPr>
      </w:pPr>
      <w:r>
        <w:rPr>
          <w:rFonts w:hint="eastAsia"/>
          <w:szCs w:val="21"/>
        </w:rPr>
        <w:t>式中：</w:t>
      </w:r>
    </w:p>
    <w:p>
      <w:pPr>
        <w:numPr>
          <w:ilvl w:val="0"/>
          <w:numId w:val="13"/>
        </w:numPr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i/>
          <w:iCs/>
          <w:szCs w:val="21"/>
        </w:rPr>
        <w:t xml:space="preserve"> </w:t>
      </w:r>
      <w:r>
        <w:rPr>
          <w:i/>
          <w:iCs/>
          <w:szCs w:val="21"/>
        </w:rPr>
        <w:t>C</w:t>
      </w:r>
      <w:r>
        <w:rPr>
          <w:rFonts w:hint="eastAsia"/>
          <w:i/>
          <w:iCs/>
          <w:szCs w:val="21"/>
          <w:vertAlign w:val="subscript"/>
        </w:rPr>
        <w:t>1</w:t>
      </w:r>
      <w:r>
        <w:rPr>
          <w:rFonts w:hint="eastAsia" w:hAnsi="宋体" w:cs="宋体"/>
        </w:rPr>
        <w:t>—</w:t>
      </w:r>
      <w:r>
        <w:rPr>
          <w:rFonts w:hint="eastAsia"/>
          <w:szCs w:val="21"/>
        </w:rPr>
        <w:t>为根据标准曲线计算的试样中N-乙酰神经氨酸的浓度，g/l；</w:t>
      </w:r>
    </w:p>
    <w:p>
      <w:pPr>
        <w:numPr>
          <w:ilvl w:val="0"/>
          <w:numId w:val="13"/>
        </w:numPr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>C</w:t>
      </w:r>
      <w:r>
        <w:rPr>
          <w:rFonts w:hint="eastAsia"/>
          <w:i/>
          <w:iCs/>
          <w:szCs w:val="21"/>
          <w:vertAlign w:val="subscript"/>
        </w:rPr>
        <w:t>2</w:t>
      </w:r>
      <w:r>
        <w:rPr>
          <w:rFonts w:hint="eastAsia" w:hAnsi="宋体" w:cs="宋体"/>
        </w:rPr>
        <w:t>—</w:t>
      </w:r>
      <w:r>
        <w:rPr>
          <w:rFonts w:hint="eastAsia"/>
          <w:szCs w:val="21"/>
        </w:rPr>
        <w:t>为样品溶液的配置浓度，g/l；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6.2.1.4.6 回收率</w:t>
      </w:r>
    </w:p>
    <w:p>
      <w:pPr>
        <w:pStyle w:val="57"/>
        <w:ind w:firstLine="420"/>
      </w:pPr>
      <w:r>
        <w:rPr>
          <w:rFonts w:hint="eastAsia"/>
        </w:rPr>
        <w:t>平均回收率应在95%至105%。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6.2.1.4.7 允许差</w:t>
      </w:r>
    </w:p>
    <w:p>
      <w:pPr>
        <w:pStyle w:val="57"/>
        <w:numPr>
          <w:ilvl w:val="255"/>
          <w:numId w:val="0"/>
        </w:numPr>
        <w:ind w:firstLine="420" w:firstLineChars="200"/>
      </w:pPr>
      <w:r>
        <w:rPr>
          <w:rFonts w:hint="eastAsia"/>
        </w:rPr>
        <w:t>在重复性条件下获得的同一样品溶液两次独立测定结果的绝对差值，不应超过算术平均值的1%。</w:t>
      </w: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3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3"/>
          <w:numId w:val="13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56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6.2.2 pH值的测定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按照《化妆品安全技术规范》2015年版的规定进行。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6.2.3 水分的测定</w:t>
      </w:r>
    </w:p>
    <w:p>
      <w:pPr>
        <w:pStyle w:val="57"/>
        <w:numPr>
          <w:ilvl w:val="0"/>
          <w:numId w:val="13"/>
        </w:numPr>
        <w:ind w:firstLine="420"/>
      </w:pPr>
      <w:r>
        <w:rPr>
          <w:rFonts w:hint="eastAsia"/>
        </w:rPr>
        <w:t>按照GB 5009.3</w:t>
      </w:r>
      <w:r>
        <w:t xml:space="preserve"> 第四法</w:t>
      </w:r>
      <w:r>
        <w:rPr>
          <w:rFonts w:hint="eastAsia"/>
        </w:rPr>
        <w:t>的规定进行。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6.2.4 灰分的测定</w:t>
      </w:r>
    </w:p>
    <w:p>
      <w:pPr>
        <w:pStyle w:val="57"/>
        <w:numPr>
          <w:ilvl w:val="0"/>
          <w:numId w:val="13"/>
        </w:numPr>
        <w:ind w:firstLine="420"/>
      </w:pPr>
      <w:r>
        <w:rPr>
          <w:rFonts w:hint="eastAsia"/>
        </w:rPr>
        <w:t>按照GB 5009.</w:t>
      </w:r>
      <w:r>
        <w:t>4 第一法</w:t>
      </w:r>
      <w:r>
        <w:rPr>
          <w:rFonts w:hint="eastAsia"/>
        </w:rPr>
        <w:t>的规定进行。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 微生物指标的测定</w:t>
      </w:r>
    </w:p>
    <w:p>
      <w:pPr>
        <w:pStyle w:val="57"/>
        <w:ind w:firstLine="420"/>
      </w:pPr>
      <w:r>
        <w:rPr>
          <w:rFonts w:hint="eastAsia"/>
        </w:rPr>
        <w:t>按照《化妆品安全技术规范》2015年版第五章微生物检验方法测定。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6.4 有害物质指标的测定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6.4.1 汞的测定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按照《化妆品安全技术规范》（2015年版）</w:t>
      </w:r>
      <w:r>
        <w:rPr>
          <w:rFonts w:hint="eastAsia" w:ascii="宋体" w:eastAsia="宋体"/>
          <w:szCs w:val="20"/>
        </w:rPr>
        <w:t>第四章 1.2</w:t>
      </w:r>
      <w:r>
        <w:rPr>
          <w:rFonts w:hint="eastAsia" w:ascii="宋体" w:eastAsia="宋体"/>
        </w:rPr>
        <w:t>汞 第一法的规定进行。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6.4.2 铅的测定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按照《化妆品安全技术规范》</w:t>
      </w:r>
      <w:r>
        <w:rPr>
          <w:rFonts w:ascii="宋体" w:eastAsia="宋体"/>
        </w:rPr>
        <w:t>(</w:t>
      </w:r>
      <w:r>
        <w:rPr>
          <w:rFonts w:hint="eastAsia" w:ascii="宋体" w:eastAsia="宋体"/>
        </w:rPr>
        <w:t>2015年版)</w:t>
      </w:r>
      <w:r>
        <w:rPr>
          <w:rFonts w:hint="eastAsia" w:ascii="宋体" w:eastAsia="宋体"/>
          <w:szCs w:val="20"/>
        </w:rPr>
        <w:t xml:space="preserve"> 第四章 1.3</w:t>
      </w:r>
      <w:r>
        <w:rPr>
          <w:rFonts w:hint="eastAsia" w:ascii="宋体" w:eastAsia="宋体"/>
        </w:rPr>
        <w:t>铅 第一法的规定进行。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6.4.3 镉的测定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按照《化妆品安全技术规范》(2015年版)</w:t>
      </w:r>
      <w:r>
        <w:rPr>
          <w:rFonts w:hint="eastAsia" w:ascii="宋体" w:eastAsia="宋体"/>
          <w:szCs w:val="20"/>
        </w:rPr>
        <w:t xml:space="preserve"> 第四章 1.5</w:t>
      </w:r>
      <w:r>
        <w:rPr>
          <w:rFonts w:hint="eastAsia" w:ascii="宋体" w:eastAsia="宋体"/>
        </w:rPr>
        <w:t>镉的规定进行。</w:t>
      </w:r>
    </w:p>
    <w:p>
      <w:pPr>
        <w:pStyle w:val="64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6.4.4 砷的测定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按照《化妆品安全技术规范》(2015年版</w:t>
      </w:r>
      <w:r>
        <w:rPr>
          <w:rFonts w:ascii="宋体" w:eastAsia="宋体"/>
        </w:rPr>
        <w:t>)</w:t>
      </w:r>
      <w:r>
        <w:rPr>
          <w:rFonts w:hint="eastAsia" w:ascii="宋体" w:eastAsia="宋体"/>
          <w:szCs w:val="20"/>
        </w:rPr>
        <w:t xml:space="preserve"> 第四章 1.4</w:t>
      </w:r>
      <w:r>
        <w:rPr>
          <w:rFonts w:hint="eastAsia" w:ascii="宋体" w:eastAsia="宋体"/>
        </w:rPr>
        <w:t>砷 第一法的规定进行。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7 净含量</w:t>
      </w:r>
    </w:p>
    <w:p>
      <w:pPr>
        <w:pStyle w:val="57"/>
        <w:ind w:firstLine="420"/>
      </w:pPr>
      <w:r>
        <w:rPr>
          <w:rFonts w:hint="eastAsia"/>
        </w:rPr>
        <w:t>按 JJF 1070执行。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 检验规则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8.1 抽样</w:t>
      </w:r>
    </w:p>
    <w:p>
      <w:pPr>
        <w:pStyle w:val="57"/>
        <w:ind w:firstLine="420"/>
      </w:pPr>
      <w:r>
        <w:rPr>
          <w:rFonts w:hint="eastAsia"/>
        </w:rPr>
        <w:t>对单批次产品随机取样。取样应具备清洁、干燥、避光密闭的样品袋或瓶，样品袋或瓶上应贴有标签，注明产品名称、批号、生产厂名称和取样日期、取样人签名及必要的说明。</w:t>
      </w:r>
    </w:p>
    <w:p>
      <w:pPr>
        <w:pStyle w:val="57"/>
        <w:ind w:firstLine="0" w:firstLineChars="0"/>
      </w:pP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8.2 出厂检验</w:t>
      </w:r>
    </w:p>
    <w:p>
      <w:pPr>
        <w:pStyle w:val="57"/>
        <w:ind w:firstLine="0" w:firstLineChars="0"/>
      </w:pPr>
      <w:r>
        <w:rPr>
          <w:rFonts w:hint="eastAsia" w:ascii="黑体" w:hAnsi="黑体" w:eastAsia="黑体" w:cs="黑体"/>
        </w:rPr>
        <w:t xml:space="preserve">8.2.1 </w:t>
      </w:r>
      <w:r>
        <w:rPr>
          <w:rFonts w:hint="eastAsia"/>
        </w:rPr>
        <w:t>出厂前须经质量检验部门逐批次检验，合格后方可放行。</w:t>
      </w:r>
    </w:p>
    <w:p>
      <w:pPr>
        <w:pStyle w:val="57"/>
        <w:ind w:firstLine="0" w:firstLineChars="0"/>
      </w:pPr>
      <w:r>
        <w:rPr>
          <w:rFonts w:hint="eastAsia" w:ascii="黑体" w:hAnsi="黑体" w:eastAsia="黑体" w:cs="黑体"/>
        </w:rPr>
        <w:t xml:space="preserve">8.2.2 </w:t>
      </w:r>
      <w:r>
        <w:rPr>
          <w:rFonts w:hint="eastAsia"/>
        </w:rPr>
        <w:t>出厂检验指标包括：感官指标、含量、pH值、水分。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8.3 型式检验</w:t>
      </w:r>
    </w:p>
    <w:p>
      <w:pPr>
        <w:pStyle w:val="57"/>
        <w:ind w:firstLine="0" w:firstLineChars="0"/>
      </w:pPr>
      <w:r>
        <w:rPr>
          <w:rFonts w:hint="eastAsia" w:ascii="黑体" w:hAnsi="黑体" w:eastAsia="黑体" w:cs="黑体"/>
        </w:rPr>
        <w:t xml:space="preserve">8.3.1 </w:t>
      </w:r>
      <w:r>
        <w:rPr>
          <w:rFonts w:hint="eastAsia" w:ascii="Times New Roman" w:hAnsi="宋体"/>
          <w:szCs w:val="21"/>
        </w:rPr>
        <w:t>型式检验一般每一年进行一次。</w:t>
      </w:r>
    </w:p>
    <w:p>
      <w:pPr>
        <w:pStyle w:val="57"/>
        <w:ind w:firstLine="0" w:firstLineChars="0"/>
      </w:pPr>
      <w:r>
        <w:rPr>
          <w:rFonts w:hint="eastAsia" w:ascii="黑体" w:hAnsi="黑体" w:eastAsia="黑体" w:cs="黑体"/>
        </w:rPr>
        <w:t xml:space="preserve">8.3.2 </w:t>
      </w:r>
      <w:r>
        <w:rPr>
          <w:rFonts w:hint="eastAsia"/>
        </w:rPr>
        <w:t>型式检验指标为本文件技术要求中规定的全部指标。</w:t>
      </w:r>
    </w:p>
    <w:p>
      <w:pPr>
        <w:pStyle w:val="57"/>
        <w:ind w:firstLine="0" w:firstLineChars="0"/>
      </w:pPr>
      <w:r>
        <w:rPr>
          <w:rFonts w:hint="eastAsia" w:ascii="黑体" w:hAnsi="黑体" w:eastAsia="黑体" w:cs="黑体"/>
        </w:rPr>
        <w:t xml:space="preserve">8.3.3 </w:t>
      </w:r>
      <w:r>
        <w:rPr>
          <w:rFonts w:hint="eastAsia"/>
        </w:rPr>
        <w:t>有下列情况之一时，亦进行型式检验：</w:t>
      </w:r>
    </w:p>
    <w:p>
      <w:pPr>
        <w:pStyle w:val="57"/>
        <w:ind w:firstLine="420"/>
      </w:pPr>
      <w:r>
        <w:rPr>
          <w:rFonts w:hint="eastAsia"/>
        </w:rPr>
        <w:t>a）停产三个月，恢复生产时；</w:t>
      </w:r>
    </w:p>
    <w:p>
      <w:pPr>
        <w:pStyle w:val="57"/>
        <w:ind w:firstLine="420"/>
      </w:pPr>
      <w:r>
        <w:rPr>
          <w:rFonts w:hint="eastAsia"/>
        </w:rPr>
        <w:t>b）更改原料来源或调整工艺，可能影响产品质量时；</w:t>
      </w:r>
    </w:p>
    <w:p>
      <w:pPr>
        <w:pStyle w:val="57"/>
        <w:ind w:firstLine="420"/>
      </w:pPr>
      <w:r>
        <w:rPr>
          <w:rFonts w:hint="eastAsia"/>
        </w:rPr>
        <w:t>c）出厂检验结果与上次型式检验有较大差异时；</w:t>
      </w:r>
    </w:p>
    <w:p>
      <w:pPr>
        <w:pStyle w:val="57"/>
        <w:ind w:firstLine="420"/>
      </w:pPr>
      <w:r>
        <w:rPr>
          <w:rFonts w:hint="eastAsia"/>
        </w:rPr>
        <w:t>d）国家产品安全监督部门提出要求时。</w:t>
      </w:r>
    </w:p>
    <w:p>
      <w:pPr>
        <w:pStyle w:val="57"/>
        <w:ind w:firstLine="420"/>
      </w:pP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8.4 判定规则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8.4.1 出厂检验判定规则</w:t>
      </w:r>
    </w:p>
    <w:p>
      <w:pPr>
        <w:pStyle w:val="57"/>
        <w:ind w:firstLine="0" w:firstLineChars="0"/>
        <w:rPr>
          <w:rFonts w:hAnsi="黑体" w:cs="黑体"/>
        </w:rPr>
      </w:pPr>
      <w:r>
        <w:rPr>
          <w:rFonts w:hint="eastAsia" w:ascii="黑体" w:hAnsi="黑体" w:eastAsia="黑体" w:cs="黑体"/>
        </w:rPr>
        <w:t xml:space="preserve">8.4.1.1 </w:t>
      </w:r>
      <w:r>
        <w:rPr>
          <w:rFonts w:hint="eastAsia" w:hAnsi="黑体" w:cs="黑体"/>
        </w:rPr>
        <w:t>出厂检验指标全部符合本文件，判为合格品。</w:t>
      </w:r>
    </w:p>
    <w:p>
      <w:pPr>
        <w:pStyle w:val="57"/>
        <w:ind w:firstLine="0" w:firstLineChars="0"/>
      </w:pPr>
      <w:r>
        <w:rPr>
          <w:rFonts w:hint="eastAsia" w:ascii="黑体" w:hAnsi="黑体" w:eastAsia="黑体" w:cs="黑体"/>
        </w:rPr>
        <w:t xml:space="preserve">8.4.1.2 </w:t>
      </w:r>
      <w:r>
        <w:rPr>
          <w:rFonts w:hint="eastAsia" w:hAnsi="黑体" w:cs="黑体"/>
        </w:rPr>
        <w:t>出厂检验中</w:t>
      </w:r>
      <w:r>
        <w:rPr>
          <w:rFonts w:hAnsi="黑体" w:cs="黑体"/>
        </w:rPr>
        <w:t>2</w:t>
      </w:r>
      <w:r>
        <w:rPr>
          <w:rFonts w:hint="eastAsia" w:hAnsi="黑体" w:cs="黑体"/>
        </w:rPr>
        <w:t>项及以下指标不符合本文件时，可在原批次产品中2倍抽样复检一次，判定以复检结果为准，若仍有指标不合格，则判该批次产品为不合格品。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8.4.2 型式检验判定规则</w:t>
      </w:r>
    </w:p>
    <w:p>
      <w:pPr>
        <w:pStyle w:val="57"/>
        <w:ind w:firstLine="0" w:firstLineChars="0"/>
        <w:rPr>
          <w:rFonts w:hAnsi="黑体" w:cs="黑体"/>
        </w:rPr>
      </w:pPr>
      <w:r>
        <w:rPr>
          <w:rFonts w:hint="eastAsia" w:ascii="黑体" w:hAnsi="黑体" w:eastAsia="黑体" w:cs="黑体"/>
        </w:rPr>
        <w:t xml:space="preserve">8.4.2.1 </w:t>
      </w:r>
      <w:r>
        <w:rPr>
          <w:rFonts w:hint="eastAsia" w:hAnsi="黑体" w:cs="黑体"/>
        </w:rPr>
        <w:t>型式检验指标全部符合本文件，判为合格品。</w:t>
      </w:r>
      <w:r>
        <w:rPr>
          <w:rFonts w:hAnsi="黑体" w:cs="黑体"/>
        </w:rPr>
        <w:t xml:space="preserve"> </w:t>
      </w:r>
    </w:p>
    <w:p>
      <w:pPr>
        <w:pStyle w:val="57"/>
        <w:ind w:firstLine="0" w:firstLineChars="0"/>
      </w:pPr>
      <w:r>
        <w:rPr>
          <w:rFonts w:hint="eastAsia" w:ascii="黑体" w:hAnsi="黑体" w:eastAsia="黑体" w:cs="黑体"/>
        </w:rPr>
        <w:t xml:space="preserve">8.4.2.2 </w:t>
      </w:r>
      <w:r>
        <w:rPr>
          <w:rFonts w:hint="eastAsia" w:hAnsi="黑体" w:cs="黑体"/>
        </w:rPr>
        <w:t>型式检验项目3项及以下指标不符合本文件，应2倍取样进行复验，判定以复检结果为准，若仍有指标不符合本文件，则判该批次产品为不合格品。微生物指标不得复检。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8.4.3 异议与仲裁</w:t>
      </w:r>
    </w:p>
    <w:p>
      <w:pPr>
        <w:pStyle w:val="57"/>
        <w:ind w:firstLine="420"/>
      </w:pPr>
      <w:r>
        <w:rPr>
          <w:rFonts w:hint="eastAsia"/>
        </w:rPr>
        <w:t>供需双方对产品质量发生异议时，可由双方协定仲裁机构按本文件进行仲裁。</w:t>
      </w:r>
    </w:p>
    <w:p>
      <w:pPr>
        <w:pStyle w:val="90"/>
        <w:numPr>
          <w:ilvl w:val="0"/>
          <w:numId w:val="0"/>
        </w:numPr>
        <w:spacing w:before="312" w:beforeLines="100" w:after="312" w:afterLines="100"/>
        <w:rPr>
          <w:rFonts w:hAnsi="黑体" w:cs="黑体"/>
        </w:rPr>
      </w:pPr>
      <w:r>
        <w:rPr>
          <w:rFonts w:hint="eastAsia" w:hAnsi="黑体" w:cs="黑体"/>
        </w:rPr>
        <w:t>9 标志、包装、运输、贮存、保质期</w:t>
      </w:r>
    </w:p>
    <w:p>
      <w:pPr>
        <w:pStyle w:val="56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9.1 标志</w:t>
      </w:r>
    </w:p>
    <w:p>
      <w:pPr>
        <w:pStyle w:val="57"/>
        <w:ind w:firstLine="420"/>
      </w:pPr>
      <w:r>
        <w:rPr>
          <w:rFonts w:hint="eastAsia"/>
        </w:rPr>
        <w:t>产品的包装容器外应标明：产品名称、生产日期或生产批号、净含量、保质期、产品质量符合标准的证明及标准编号等。包装储运图示标志应符合GB/T 191的规定。</w:t>
      </w:r>
    </w:p>
    <w:p>
      <w:pPr>
        <w:pStyle w:val="56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9.2 包装</w:t>
      </w:r>
    </w:p>
    <w:p>
      <w:pPr>
        <w:pStyle w:val="57"/>
        <w:ind w:firstLine="420"/>
      </w:pPr>
      <w:r>
        <w:rPr>
          <w:rFonts w:hint="eastAsia" w:hAnsi="宋体" w:cs="宋体"/>
        </w:rPr>
        <w:t>产品应采用无毒、无害、坚固的容器包装。</w:t>
      </w:r>
    </w:p>
    <w:p>
      <w:pPr>
        <w:pStyle w:val="56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9.3 运输</w:t>
      </w:r>
    </w:p>
    <w:p>
      <w:pPr>
        <w:pStyle w:val="57"/>
        <w:ind w:firstLine="420"/>
        <w:rPr>
          <w:rFonts w:hAnsi="宋体"/>
        </w:rPr>
      </w:pPr>
      <w:r>
        <w:rPr>
          <w:rFonts w:hint="eastAsia"/>
        </w:rPr>
        <w:t>产品运输时应防止挤压、撞击、日晒雨淋，装卸时应小心轻放，不得与有毒、有害或有污染的物品以及具有氧化性的物品混装、混运。</w:t>
      </w:r>
    </w:p>
    <w:p>
      <w:pPr>
        <w:pStyle w:val="56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9.4 贮存</w:t>
      </w:r>
    </w:p>
    <w:p>
      <w:pPr>
        <w:pStyle w:val="57"/>
        <w:ind w:firstLine="420"/>
        <w:rPr>
          <w:rFonts w:ascii="黑体" w:hAnsi="黑体" w:cs="黑体"/>
        </w:rPr>
      </w:pPr>
      <w:r>
        <w:rPr>
          <w:rFonts w:hint="eastAsia"/>
        </w:rPr>
        <w:t>产品应装于适宜的容器中，常温贮存，冷藏为佳。产品不得与有毒、有害、有异味、易挥发、易腐蚀的物品混存。</w:t>
      </w:r>
    </w:p>
    <w:p>
      <w:pPr>
        <w:pStyle w:val="56"/>
        <w:numPr>
          <w:ilvl w:val="0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9.5 保质期</w:t>
      </w:r>
    </w:p>
    <w:p>
      <w:pPr>
        <w:pStyle w:val="56"/>
        <w:numPr>
          <w:ilvl w:val="0"/>
          <w:numId w:val="0"/>
        </w:numPr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在符合上述规定的运输和贮存条件下，产品在包装完整和未经启封的情况下，保质期按销售包装标注执行。</w:t>
      </w: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 录 A</w:t>
      </w:r>
    </w:p>
    <w:p>
      <w:pPr>
        <w:jc w:val="center"/>
        <w:rPr>
          <w:rFonts w:eastAsia="黑体"/>
        </w:rPr>
      </w:pPr>
      <w:r>
        <w:rPr>
          <w:rFonts w:eastAsia="黑体"/>
        </w:rPr>
        <w:t>（资料性附录）</w:t>
      </w:r>
    </w:p>
    <w:p>
      <w:pPr>
        <w:jc w:val="center"/>
        <w:rPr>
          <w:rFonts w:eastAsia="黑体"/>
        </w:rPr>
      </w:pPr>
    </w:p>
    <w:p>
      <w:pPr>
        <w:jc w:val="center"/>
        <w:rPr>
          <w:rFonts w:eastAsia="黑体"/>
        </w:rPr>
      </w:pPr>
      <w:r>
        <w:rPr>
          <w:rFonts w:hint="eastAsia" w:eastAsia="黑体"/>
        </w:rPr>
        <w:t>N-乙酰神经氨酸</w:t>
      </w:r>
      <w:r>
        <w:rPr>
          <w:rFonts w:eastAsia="黑体"/>
        </w:rPr>
        <w:t>标准</w:t>
      </w:r>
      <w:r>
        <w:rPr>
          <w:rFonts w:hint="eastAsia" w:eastAsia="黑体"/>
        </w:rPr>
        <w:t>品</w:t>
      </w:r>
      <w:r>
        <w:rPr>
          <w:rFonts w:eastAsia="黑体"/>
        </w:rPr>
        <w:t>的</w:t>
      </w:r>
      <w:r>
        <w:rPr>
          <w:rFonts w:hint="eastAsia" w:eastAsia="黑体"/>
        </w:rPr>
        <w:t>高效液相色谱标准图谱</w:t>
      </w:r>
    </w:p>
    <w:p>
      <w:pPr>
        <w:jc w:val="center"/>
      </w:pPr>
      <w:r>
        <w:rPr>
          <w:szCs w:val="21"/>
        </w:rPr>
        <w:drawing>
          <wp:inline distT="0" distB="0" distL="0" distR="0">
            <wp:extent cx="4328160" cy="2143125"/>
            <wp:effectExtent l="0" t="0" r="0" b="571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6199" cy="2152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7"/>
        <w:ind w:firstLine="420"/>
        <w:jc w:val="center"/>
      </w:pPr>
      <w:r>
        <w:rPr>
          <w:rFonts w:hint="eastAsia" w:ascii="黑体" w:hAnsi="黑体" w:eastAsia="黑体" w:cs="黑体"/>
        </w:rPr>
        <w:t xml:space="preserve">图A.1 </w:t>
      </w:r>
      <w:r>
        <w:rPr>
          <w:rFonts w:hint="eastAsia"/>
        </w:rPr>
        <w:t>N-乙酰神经氨酸 高效液相色谱标准图谱</w:t>
      </w:r>
    </w:p>
    <w:p>
      <w:pPr>
        <w:jc w:val="center"/>
      </w:pPr>
    </w:p>
    <w:p>
      <w:pPr>
        <w:pStyle w:val="57"/>
        <w:framePr w:w="3105" w:hSpace="181" w:vSpace="181" w:wrap="around" w:vAnchor="text" w:hAnchor="page" w:x="4373" w:y="1460"/>
        <w:tabs>
          <w:tab w:val="center" w:pos="4201"/>
          <w:tab w:val="right" w:leader="dot" w:pos="9298"/>
        </w:tabs>
        <w:ind w:firstLine="420"/>
        <w:jc w:val="center"/>
        <w:rPr>
          <w:rFonts w:ascii="Times New Roman"/>
        </w:rPr>
      </w:pPr>
    </w:p>
    <w:p>
      <w:pPr>
        <w:framePr w:w="3105" w:hSpace="181" w:vSpace="181" w:wrap="around" w:vAnchor="text" w:hAnchor="page" w:x="4373" w:y="1460"/>
        <w:jc w:val="center"/>
        <w:rPr>
          <w:kern w:val="0"/>
          <w:szCs w:val="20"/>
        </w:rPr>
      </w:pPr>
      <w:r>
        <w:t>________________________</w:t>
      </w:r>
    </w:p>
    <w:p>
      <w:pPr>
        <w:pStyle w:val="57"/>
        <w:ind w:firstLine="0" w:firstLineChars="0"/>
      </w:pPr>
    </w:p>
    <w:p>
      <w:pPr>
        <w:pStyle w:val="57"/>
        <w:ind w:firstLine="420"/>
      </w:pPr>
    </w:p>
    <w:p>
      <w:pPr>
        <w:pStyle w:val="57"/>
        <w:ind w:firstLine="420"/>
      </w:pPr>
    </w:p>
    <w:sectPr>
      <w:footerReference r:id="rId11" w:type="default"/>
      <w:pgSz w:w="11907" w:h="16839"/>
      <w:pgMar w:top="1418" w:right="1134" w:bottom="851" w:left="1418" w:header="1418" w:footer="85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2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</w:pPr>
    <w:r>
      <w:t>SN/T ××××—200×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5"/>
    </w:pPr>
    <w:r>
      <w:t>SN/T ××××—200×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  <w:rPr>
        <w:rFonts w:ascii="黑体" w:hAnsi="黑体" w:eastAsia="黑体"/>
      </w:rPr>
    </w:pPr>
    <w:r>
      <w:rPr>
        <w:rFonts w:ascii="黑体" w:hAnsi="黑体" w:eastAsia="黑体"/>
      </w:rPr>
      <w:t>T/CAFFCI  XXXX—201X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611FB"/>
    <w:multiLevelType w:val="multilevel"/>
    <w:tmpl w:val="07A611FB"/>
    <w:lvl w:ilvl="0" w:tentative="0">
      <w:start w:val="2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5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 w:tentative="0">
      <w:start w:val="1"/>
      <w:numFmt w:val="none"/>
      <w:pStyle w:val="86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5F35014"/>
    <w:multiLevelType w:val="multilevel"/>
    <w:tmpl w:val="45F35014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6806F7D"/>
    <w:multiLevelType w:val="multilevel"/>
    <w:tmpl w:val="46806F7D"/>
    <w:lvl w:ilvl="0" w:tentative="0">
      <w:start w:val="1"/>
      <w:numFmt w:val="none"/>
      <w:pStyle w:val="98"/>
      <w:lvlText w:val="图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6D22D8F"/>
    <w:multiLevelType w:val="multilevel"/>
    <w:tmpl w:val="46D22D8F"/>
    <w:lvl w:ilvl="0" w:tentative="0">
      <w:start w:val="1"/>
      <w:numFmt w:val="none"/>
      <w:pStyle w:val="79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/>
        <w:b w:val="0"/>
        <w:i w:val="0"/>
        <w:position w:val="4"/>
        <w:sz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96E4D7B"/>
    <w:multiLevelType w:val="multilevel"/>
    <w:tmpl w:val="496E4D7B"/>
    <w:lvl w:ilvl="0" w:tentative="0">
      <w:start w:val="1"/>
      <w:numFmt w:val="none"/>
      <w:pStyle w:val="8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F302902"/>
    <w:multiLevelType w:val="multilevel"/>
    <w:tmpl w:val="4F302902"/>
    <w:lvl w:ilvl="0" w:tentative="0">
      <w:start w:val="1"/>
      <w:numFmt w:val="none"/>
      <w:pStyle w:val="113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557C2AF5"/>
    <w:multiLevelType w:val="multilevel"/>
    <w:tmpl w:val="557C2AF5"/>
    <w:lvl w:ilvl="0" w:tentative="0">
      <w:start w:val="1"/>
      <w:numFmt w:val="decimal"/>
      <w:pStyle w:val="8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350366A"/>
    <w:multiLevelType w:val="multilevel"/>
    <w:tmpl w:val="6350366A"/>
    <w:lvl w:ilvl="0" w:tentative="0">
      <w:start w:val="1"/>
      <w:numFmt w:val="none"/>
      <w:pStyle w:val="80"/>
      <w:lvlText w:val="%1●　"/>
      <w:lvlJc w:val="left"/>
      <w:pPr>
        <w:tabs>
          <w:tab w:val="left" w:pos="760"/>
        </w:tabs>
        <w:ind w:left="717" w:hanging="317"/>
      </w:pPr>
      <w:rPr>
        <w:rFonts w:hint="eastAsia" w:ascii="宋体" w:hAnsi="Times New Roman" w:eastAsia="宋体"/>
        <w:b w:val="0"/>
        <w:i w:val="0"/>
        <w:position w:val="4"/>
        <w:sz w:val="13"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646260FA"/>
    <w:multiLevelType w:val="multilevel"/>
    <w:tmpl w:val="646260FA"/>
    <w:lvl w:ilvl="0" w:tentative="0">
      <w:start w:val="1"/>
      <w:numFmt w:val="decimal"/>
      <w:pStyle w:val="106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6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6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9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>
    <w:nsid w:val="6CEA2025"/>
    <w:multiLevelType w:val="multilevel"/>
    <w:tmpl w:val="6CEA2025"/>
    <w:lvl w:ilvl="0" w:tentative="0">
      <w:start w:val="1"/>
      <w:numFmt w:val="none"/>
      <w:pStyle w:val="78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90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56"/>
      <w:suff w:val="nothing"/>
      <w:lvlText w:val="%1%2.%3　"/>
      <w:lvlJc w:val="left"/>
      <w:pPr>
        <w:ind w:left="425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1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4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83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DBF04F4"/>
    <w:multiLevelType w:val="multilevel"/>
    <w:tmpl w:val="6DBF04F4"/>
    <w:lvl w:ilvl="0" w:tentative="0">
      <w:start w:val="1"/>
      <w:numFmt w:val="none"/>
      <w:pStyle w:val="116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291008A"/>
    <w:multiLevelType w:val="multilevel"/>
    <w:tmpl w:val="7291008A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76933334"/>
    <w:multiLevelType w:val="multilevel"/>
    <w:tmpl w:val="76933334"/>
    <w:lvl w:ilvl="0" w:tentative="0">
      <w:start w:val="1"/>
      <w:numFmt w:val="none"/>
      <w:pStyle w:val="85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14"/>
  </w:num>
  <w:num w:numId="8">
    <w:abstractNumId w:val="1"/>
  </w:num>
  <w:num w:numId="9">
    <w:abstractNumId w:val="3"/>
  </w:num>
  <w:num w:numId="10">
    <w:abstractNumId w:val="9"/>
  </w:num>
  <w:num w:numId="11">
    <w:abstractNumId w:val="6"/>
  </w:num>
  <w:num w:numId="12">
    <w:abstractNumId w:val="12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xOTE0NzFmZmNjYTVjODY0NTJmNTMzMDJiMjMwOTkifQ=="/>
  </w:docVars>
  <w:rsids>
    <w:rsidRoot w:val="00493CE6"/>
    <w:rsid w:val="0000299B"/>
    <w:rsid w:val="00016BB0"/>
    <w:rsid w:val="000212BD"/>
    <w:rsid w:val="0002161E"/>
    <w:rsid w:val="000235F6"/>
    <w:rsid w:val="00023DD2"/>
    <w:rsid w:val="00026B95"/>
    <w:rsid w:val="00033727"/>
    <w:rsid w:val="00043468"/>
    <w:rsid w:val="000441D6"/>
    <w:rsid w:val="000468BB"/>
    <w:rsid w:val="0005160C"/>
    <w:rsid w:val="00053FF8"/>
    <w:rsid w:val="000664E6"/>
    <w:rsid w:val="00067612"/>
    <w:rsid w:val="000734E5"/>
    <w:rsid w:val="000748B1"/>
    <w:rsid w:val="00077063"/>
    <w:rsid w:val="00082025"/>
    <w:rsid w:val="000918E5"/>
    <w:rsid w:val="00091A63"/>
    <w:rsid w:val="00092191"/>
    <w:rsid w:val="0009769E"/>
    <w:rsid w:val="00097D6A"/>
    <w:rsid w:val="000A485E"/>
    <w:rsid w:val="000A4F85"/>
    <w:rsid w:val="000A6265"/>
    <w:rsid w:val="000A7BB9"/>
    <w:rsid w:val="000B5015"/>
    <w:rsid w:val="000C0117"/>
    <w:rsid w:val="000C07F3"/>
    <w:rsid w:val="000C0D66"/>
    <w:rsid w:val="000C185D"/>
    <w:rsid w:val="000C2609"/>
    <w:rsid w:val="000C4D12"/>
    <w:rsid w:val="000C5A16"/>
    <w:rsid w:val="000C6906"/>
    <w:rsid w:val="000C7385"/>
    <w:rsid w:val="000D0AB9"/>
    <w:rsid w:val="000D4571"/>
    <w:rsid w:val="000D7230"/>
    <w:rsid w:val="000E1A0F"/>
    <w:rsid w:val="000E4180"/>
    <w:rsid w:val="000E58B2"/>
    <w:rsid w:val="000E79EA"/>
    <w:rsid w:val="000F0121"/>
    <w:rsid w:val="000F2388"/>
    <w:rsid w:val="000F4A10"/>
    <w:rsid w:val="000F66FF"/>
    <w:rsid w:val="000F670E"/>
    <w:rsid w:val="00102971"/>
    <w:rsid w:val="00103205"/>
    <w:rsid w:val="0010476A"/>
    <w:rsid w:val="001070D1"/>
    <w:rsid w:val="001100D9"/>
    <w:rsid w:val="001201EE"/>
    <w:rsid w:val="0012232D"/>
    <w:rsid w:val="00122A48"/>
    <w:rsid w:val="00123E93"/>
    <w:rsid w:val="00126829"/>
    <w:rsid w:val="00127178"/>
    <w:rsid w:val="001278D2"/>
    <w:rsid w:val="00130CB0"/>
    <w:rsid w:val="001316EB"/>
    <w:rsid w:val="001374BE"/>
    <w:rsid w:val="0014064F"/>
    <w:rsid w:val="001441B3"/>
    <w:rsid w:val="001468FC"/>
    <w:rsid w:val="00156526"/>
    <w:rsid w:val="00163747"/>
    <w:rsid w:val="00165481"/>
    <w:rsid w:val="0016752E"/>
    <w:rsid w:val="00167A5F"/>
    <w:rsid w:val="001716E3"/>
    <w:rsid w:val="00174731"/>
    <w:rsid w:val="00192B17"/>
    <w:rsid w:val="001931D9"/>
    <w:rsid w:val="001937BE"/>
    <w:rsid w:val="001A257A"/>
    <w:rsid w:val="001A524F"/>
    <w:rsid w:val="001A5CFA"/>
    <w:rsid w:val="001A6E59"/>
    <w:rsid w:val="001C3E63"/>
    <w:rsid w:val="001C4B79"/>
    <w:rsid w:val="001C6325"/>
    <w:rsid w:val="001D7733"/>
    <w:rsid w:val="001E2E40"/>
    <w:rsid w:val="001E739D"/>
    <w:rsid w:val="001E74DE"/>
    <w:rsid w:val="001F2755"/>
    <w:rsid w:val="001F4E7A"/>
    <w:rsid w:val="001F62B3"/>
    <w:rsid w:val="001F72E7"/>
    <w:rsid w:val="002034E2"/>
    <w:rsid w:val="00204C53"/>
    <w:rsid w:val="002110D8"/>
    <w:rsid w:val="002130D8"/>
    <w:rsid w:val="002207EE"/>
    <w:rsid w:val="00220C09"/>
    <w:rsid w:val="0022319B"/>
    <w:rsid w:val="002232F8"/>
    <w:rsid w:val="00227C5E"/>
    <w:rsid w:val="00230A3A"/>
    <w:rsid w:val="0023394B"/>
    <w:rsid w:val="002345B8"/>
    <w:rsid w:val="00241A1D"/>
    <w:rsid w:val="00243D89"/>
    <w:rsid w:val="002507CF"/>
    <w:rsid w:val="002568B3"/>
    <w:rsid w:val="00256C6A"/>
    <w:rsid w:val="00257D94"/>
    <w:rsid w:val="00262A50"/>
    <w:rsid w:val="0026383B"/>
    <w:rsid w:val="00266D3D"/>
    <w:rsid w:val="00271987"/>
    <w:rsid w:val="002740C8"/>
    <w:rsid w:val="0027491F"/>
    <w:rsid w:val="00274E24"/>
    <w:rsid w:val="00284D5F"/>
    <w:rsid w:val="00285DE0"/>
    <w:rsid w:val="00292F94"/>
    <w:rsid w:val="002940DC"/>
    <w:rsid w:val="002A1D89"/>
    <w:rsid w:val="002A49C4"/>
    <w:rsid w:val="002A6F42"/>
    <w:rsid w:val="002B4EEE"/>
    <w:rsid w:val="002B670E"/>
    <w:rsid w:val="002C509C"/>
    <w:rsid w:val="002C7AA8"/>
    <w:rsid w:val="002D3849"/>
    <w:rsid w:val="002D3ADA"/>
    <w:rsid w:val="002D6CB1"/>
    <w:rsid w:val="002E1A27"/>
    <w:rsid w:val="002E2C50"/>
    <w:rsid w:val="00300650"/>
    <w:rsid w:val="00301E51"/>
    <w:rsid w:val="00314097"/>
    <w:rsid w:val="00316EC8"/>
    <w:rsid w:val="00317184"/>
    <w:rsid w:val="003172BD"/>
    <w:rsid w:val="00317E3A"/>
    <w:rsid w:val="003203A8"/>
    <w:rsid w:val="00321A2A"/>
    <w:rsid w:val="003230D8"/>
    <w:rsid w:val="003317C1"/>
    <w:rsid w:val="0033274D"/>
    <w:rsid w:val="00354B72"/>
    <w:rsid w:val="00357101"/>
    <w:rsid w:val="00357CB8"/>
    <w:rsid w:val="0036360A"/>
    <w:rsid w:val="00363A5F"/>
    <w:rsid w:val="00373DE5"/>
    <w:rsid w:val="003756C9"/>
    <w:rsid w:val="003821BC"/>
    <w:rsid w:val="00383DD1"/>
    <w:rsid w:val="00385527"/>
    <w:rsid w:val="0039011A"/>
    <w:rsid w:val="00390F04"/>
    <w:rsid w:val="00390F63"/>
    <w:rsid w:val="003973E3"/>
    <w:rsid w:val="003A5F2C"/>
    <w:rsid w:val="003A7DCC"/>
    <w:rsid w:val="003B229A"/>
    <w:rsid w:val="003B53EA"/>
    <w:rsid w:val="003C0DE8"/>
    <w:rsid w:val="003C2423"/>
    <w:rsid w:val="003C256D"/>
    <w:rsid w:val="003C6670"/>
    <w:rsid w:val="003D68A1"/>
    <w:rsid w:val="003E2340"/>
    <w:rsid w:val="003E420D"/>
    <w:rsid w:val="003E6018"/>
    <w:rsid w:val="003F6B19"/>
    <w:rsid w:val="003F7194"/>
    <w:rsid w:val="00401985"/>
    <w:rsid w:val="00413578"/>
    <w:rsid w:val="0042188C"/>
    <w:rsid w:val="004304E0"/>
    <w:rsid w:val="0043356D"/>
    <w:rsid w:val="00435220"/>
    <w:rsid w:val="00437162"/>
    <w:rsid w:val="00442CFD"/>
    <w:rsid w:val="00443234"/>
    <w:rsid w:val="00445A73"/>
    <w:rsid w:val="00447A74"/>
    <w:rsid w:val="00451E8D"/>
    <w:rsid w:val="00453C03"/>
    <w:rsid w:val="00457274"/>
    <w:rsid w:val="0046435F"/>
    <w:rsid w:val="00466F7C"/>
    <w:rsid w:val="00471430"/>
    <w:rsid w:val="004748F4"/>
    <w:rsid w:val="00474F2A"/>
    <w:rsid w:val="004773C2"/>
    <w:rsid w:val="00484A63"/>
    <w:rsid w:val="00490DAF"/>
    <w:rsid w:val="004911B6"/>
    <w:rsid w:val="00491DD6"/>
    <w:rsid w:val="0049305F"/>
    <w:rsid w:val="004934F5"/>
    <w:rsid w:val="00493CE6"/>
    <w:rsid w:val="004953AD"/>
    <w:rsid w:val="00496A1F"/>
    <w:rsid w:val="004A1CA7"/>
    <w:rsid w:val="004A3A03"/>
    <w:rsid w:val="004A43AD"/>
    <w:rsid w:val="004A5147"/>
    <w:rsid w:val="004B19D2"/>
    <w:rsid w:val="004B501A"/>
    <w:rsid w:val="004B596E"/>
    <w:rsid w:val="004C2EF2"/>
    <w:rsid w:val="004D178C"/>
    <w:rsid w:val="004D2BDA"/>
    <w:rsid w:val="004D3B16"/>
    <w:rsid w:val="004D6BAB"/>
    <w:rsid w:val="004E0C00"/>
    <w:rsid w:val="004F3097"/>
    <w:rsid w:val="004F4083"/>
    <w:rsid w:val="004F5609"/>
    <w:rsid w:val="004F62F2"/>
    <w:rsid w:val="004F7CF1"/>
    <w:rsid w:val="0050111A"/>
    <w:rsid w:val="00501C53"/>
    <w:rsid w:val="005032DA"/>
    <w:rsid w:val="0050344F"/>
    <w:rsid w:val="00507425"/>
    <w:rsid w:val="00507840"/>
    <w:rsid w:val="005115EC"/>
    <w:rsid w:val="0051405B"/>
    <w:rsid w:val="00514C29"/>
    <w:rsid w:val="00515CF9"/>
    <w:rsid w:val="0052056A"/>
    <w:rsid w:val="00521A73"/>
    <w:rsid w:val="00523241"/>
    <w:rsid w:val="005232E3"/>
    <w:rsid w:val="00526FF4"/>
    <w:rsid w:val="00534AA6"/>
    <w:rsid w:val="00543FF0"/>
    <w:rsid w:val="0054618F"/>
    <w:rsid w:val="00546F58"/>
    <w:rsid w:val="00553145"/>
    <w:rsid w:val="005559F5"/>
    <w:rsid w:val="00557775"/>
    <w:rsid w:val="00561DEF"/>
    <w:rsid w:val="00563FEF"/>
    <w:rsid w:val="005678B0"/>
    <w:rsid w:val="005713A8"/>
    <w:rsid w:val="00574580"/>
    <w:rsid w:val="005749D4"/>
    <w:rsid w:val="00582F57"/>
    <w:rsid w:val="005928E0"/>
    <w:rsid w:val="005937FD"/>
    <w:rsid w:val="00597798"/>
    <w:rsid w:val="005A169C"/>
    <w:rsid w:val="005A3DEB"/>
    <w:rsid w:val="005A3DF9"/>
    <w:rsid w:val="005A4247"/>
    <w:rsid w:val="005A6FE8"/>
    <w:rsid w:val="005B0066"/>
    <w:rsid w:val="005B2EB0"/>
    <w:rsid w:val="005B73F6"/>
    <w:rsid w:val="005B7BC6"/>
    <w:rsid w:val="005B7E7C"/>
    <w:rsid w:val="005C05CF"/>
    <w:rsid w:val="005C2130"/>
    <w:rsid w:val="005D20E8"/>
    <w:rsid w:val="005D4223"/>
    <w:rsid w:val="005D591B"/>
    <w:rsid w:val="005D5C86"/>
    <w:rsid w:val="005D6C4E"/>
    <w:rsid w:val="005D74D2"/>
    <w:rsid w:val="005E2482"/>
    <w:rsid w:val="005E3D2D"/>
    <w:rsid w:val="005E5E08"/>
    <w:rsid w:val="005F00AB"/>
    <w:rsid w:val="005F0756"/>
    <w:rsid w:val="005F10B4"/>
    <w:rsid w:val="005F2D94"/>
    <w:rsid w:val="00603987"/>
    <w:rsid w:val="0060426A"/>
    <w:rsid w:val="00616468"/>
    <w:rsid w:val="00616D14"/>
    <w:rsid w:val="00622DE9"/>
    <w:rsid w:val="006235BC"/>
    <w:rsid w:val="00627545"/>
    <w:rsid w:val="00632E9F"/>
    <w:rsid w:val="006360AE"/>
    <w:rsid w:val="00647F94"/>
    <w:rsid w:val="006501D8"/>
    <w:rsid w:val="00651A4A"/>
    <w:rsid w:val="006554CD"/>
    <w:rsid w:val="006607C5"/>
    <w:rsid w:val="00663681"/>
    <w:rsid w:val="00671022"/>
    <w:rsid w:val="00674BC1"/>
    <w:rsid w:val="00675EFE"/>
    <w:rsid w:val="0067762A"/>
    <w:rsid w:val="0067772C"/>
    <w:rsid w:val="00681128"/>
    <w:rsid w:val="006813DB"/>
    <w:rsid w:val="00684B1A"/>
    <w:rsid w:val="00684D3C"/>
    <w:rsid w:val="00686EF3"/>
    <w:rsid w:val="00693B60"/>
    <w:rsid w:val="00694E9D"/>
    <w:rsid w:val="00695C58"/>
    <w:rsid w:val="006A0AA5"/>
    <w:rsid w:val="006A2B0B"/>
    <w:rsid w:val="006A47CA"/>
    <w:rsid w:val="006B28C1"/>
    <w:rsid w:val="006C03CC"/>
    <w:rsid w:val="006C2A17"/>
    <w:rsid w:val="006D02BE"/>
    <w:rsid w:val="006D177D"/>
    <w:rsid w:val="006D2047"/>
    <w:rsid w:val="006D32FE"/>
    <w:rsid w:val="006D451C"/>
    <w:rsid w:val="006E0537"/>
    <w:rsid w:val="006E172C"/>
    <w:rsid w:val="006E22A9"/>
    <w:rsid w:val="006E28E3"/>
    <w:rsid w:val="006E48AF"/>
    <w:rsid w:val="006E5F87"/>
    <w:rsid w:val="006F12D9"/>
    <w:rsid w:val="006F355D"/>
    <w:rsid w:val="007019C3"/>
    <w:rsid w:val="00702434"/>
    <w:rsid w:val="0071054B"/>
    <w:rsid w:val="00710747"/>
    <w:rsid w:val="007133DA"/>
    <w:rsid w:val="0071597B"/>
    <w:rsid w:val="00726CE0"/>
    <w:rsid w:val="00743A5A"/>
    <w:rsid w:val="0074437B"/>
    <w:rsid w:val="00747BF7"/>
    <w:rsid w:val="00750720"/>
    <w:rsid w:val="007559CC"/>
    <w:rsid w:val="007579E8"/>
    <w:rsid w:val="0076033D"/>
    <w:rsid w:val="00761BBD"/>
    <w:rsid w:val="0076484D"/>
    <w:rsid w:val="00764B8E"/>
    <w:rsid w:val="00764E59"/>
    <w:rsid w:val="0076554A"/>
    <w:rsid w:val="0076583A"/>
    <w:rsid w:val="007667A6"/>
    <w:rsid w:val="007704C0"/>
    <w:rsid w:val="00770D3D"/>
    <w:rsid w:val="00781399"/>
    <w:rsid w:val="00784081"/>
    <w:rsid w:val="00791A6F"/>
    <w:rsid w:val="00792907"/>
    <w:rsid w:val="0079296D"/>
    <w:rsid w:val="00797029"/>
    <w:rsid w:val="00797848"/>
    <w:rsid w:val="007A15F5"/>
    <w:rsid w:val="007A5CD6"/>
    <w:rsid w:val="007B16AC"/>
    <w:rsid w:val="007B216B"/>
    <w:rsid w:val="007B3E86"/>
    <w:rsid w:val="007B562C"/>
    <w:rsid w:val="007C0E7E"/>
    <w:rsid w:val="007C3786"/>
    <w:rsid w:val="007C65A7"/>
    <w:rsid w:val="007E291C"/>
    <w:rsid w:val="007E373D"/>
    <w:rsid w:val="007E4474"/>
    <w:rsid w:val="007E4D78"/>
    <w:rsid w:val="007E5B2E"/>
    <w:rsid w:val="007F0052"/>
    <w:rsid w:val="00802D44"/>
    <w:rsid w:val="0080390B"/>
    <w:rsid w:val="00805B43"/>
    <w:rsid w:val="00806752"/>
    <w:rsid w:val="008073A5"/>
    <w:rsid w:val="0081485B"/>
    <w:rsid w:val="00815009"/>
    <w:rsid w:val="008200A7"/>
    <w:rsid w:val="00830BF5"/>
    <w:rsid w:val="008323D9"/>
    <w:rsid w:val="00834EE4"/>
    <w:rsid w:val="00835025"/>
    <w:rsid w:val="00835C7A"/>
    <w:rsid w:val="00841AB1"/>
    <w:rsid w:val="008459BA"/>
    <w:rsid w:val="00854C74"/>
    <w:rsid w:val="00856584"/>
    <w:rsid w:val="00863E82"/>
    <w:rsid w:val="00870033"/>
    <w:rsid w:val="008709FC"/>
    <w:rsid w:val="00873A6A"/>
    <w:rsid w:val="008803CC"/>
    <w:rsid w:val="008821F0"/>
    <w:rsid w:val="00885F00"/>
    <w:rsid w:val="00890F13"/>
    <w:rsid w:val="008919F3"/>
    <w:rsid w:val="008949D5"/>
    <w:rsid w:val="008951D8"/>
    <w:rsid w:val="00895DA3"/>
    <w:rsid w:val="008A033B"/>
    <w:rsid w:val="008A15E8"/>
    <w:rsid w:val="008A3AE5"/>
    <w:rsid w:val="008A43E6"/>
    <w:rsid w:val="008A72DC"/>
    <w:rsid w:val="008A7C44"/>
    <w:rsid w:val="008A7EF7"/>
    <w:rsid w:val="008B18C7"/>
    <w:rsid w:val="008C1542"/>
    <w:rsid w:val="008C3EA6"/>
    <w:rsid w:val="008C6FDE"/>
    <w:rsid w:val="008C74A5"/>
    <w:rsid w:val="008D2EDE"/>
    <w:rsid w:val="008D5D28"/>
    <w:rsid w:val="008E1F72"/>
    <w:rsid w:val="008F132D"/>
    <w:rsid w:val="008F1FD8"/>
    <w:rsid w:val="008F2708"/>
    <w:rsid w:val="008F31EF"/>
    <w:rsid w:val="008F3661"/>
    <w:rsid w:val="008F4583"/>
    <w:rsid w:val="008F7319"/>
    <w:rsid w:val="009040C8"/>
    <w:rsid w:val="00906DF1"/>
    <w:rsid w:val="00914B26"/>
    <w:rsid w:val="00915F7D"/>
    <w:rsid w:val="00921793"/>
    <w:rsid w:val="00932652"/>
    <w:rsid w:val="009334BB"/>
    <w:rsid w:val="00937DF4"/>
    <w:rsid w:val="00940445"/>
    <w:rsid w:val="00941B65"/>
    <w:rsid w:val="00951ECD"/>
    <w:rsid w:val="009537D8"/>
    <w:rsid w:val="0095582C"/>
    <w:rsid w:val="009558F3"/>
    <w:rsid w:val="00956BE9"/>
    <w:rsid w:val="00966BE9"/>
    <w:rsid w:val="00971DB0"/>
    <w:rsid w:val="00975B70"/>
    <w:rsid w:val="00976609"/>
    <w:rsid w:val="00980FD4"/>
    <w:rsid w:val="0099072E"/>
    <w:rsid w:val="00993A99"/>
    <w:rsid w:val="009966CB"/>
    <w:rsid w:val="009A038F"/>
    <w:rsid w:val="009A05D8"/>
    <w:rsid w:val="009A0E09"/>
    <w:rsid w:val="009A7A4F"/>
    <w:rsid w:val="009B0803"/>
    <w:rsid w:val="009B09FD"/>
    <w:rsid w:val="009B4836"/>
    <w:rsid w:val="009B7F43"/>
    <w:rsid w:val="009C0630"/>
    <w:rsid w:val="009C5CBE"/>
    <w:rsid w:val="009D2080"/>
    <w:rsid w:val="009D2817"/>
    <w:rsid w:val="009D33CB"/>
    <w:rsid w:val="009D62C5"/>
    <w:rsid w:val="009E28C3"/>
    <w:rsid w:val="009E2B71"/>
    <w:rsid w:val="009E3B3E"/>
    <w:rsid w:val="009F0899"/>
    <w:rsid w:val="009F44F0"/>
    <w:rsid w:val="00A04AB0"/>
    <w:rsid w:val="00A121FD"/>
    <w:rsid w:val="00A12F67"/>
    <w:rsid w:val="00A13EB4"/>
    <w:rsid w:val="00A22984"/>
    <w:rsid w:val="00A2737E"/>
    <w:rsid w:val="00A27B9A"/>
    <w:rsid w:val="00A34B00"/>
    <w:rsid w:val="00A3519F"/>
    <w:rsid w:val="00A35EB8"/>
    <w:rsid w:val="00A404C3"/>
    <w:rsid w:val="00A418DE"/>
    <w:rsid w:val="00A42909"/>
    <w:rsid w:val="00A4399B"/>
    <w:rsid w:val="00A4568E"/>
    <w:rsid w:val="00A46D12"/>
    <w:rsid w:val="00A46E7D"/>
    <w:rsid w:val="00A508BC"/>
    <w:rsid w:val="00A671FC"/>
    <w:rsid w:val="00A67870"/>
    <w:rsid w:val="00A706F7"/>
    <w:rsid w:val="00A728AA"/>
    <w:rsid w:val="00A80501"/>
    <w:rsid w:val="00A84758"/>
    <w:rsid w:val="00AA4DAC"/>
    <w:rsid w:val="00AA6FE8"/>
    <w:rsid w:val="00AB0364"/>
    <w:rsid w:val="00AB23CA"/>
    <w:rsid w:val="00AB5243"/>
    <w:rsid w:val="00AB7005"/>
    <w:rsid w:val="00AC45DA"/>
    <w:rsid w:val="00AC47CB"/>
    <w:rsid w:val="00AC5DA4"/>
    <w:rsid w:val="00AD1CD2"/>
    <w:rsid w:val="00AD2D8F"/>
    <w:rsid w:val="00AD68E7"/>
    <w:rsid w:val="00AE1FF2"/>
    <w:rsid w:val="00AE508E"/>
    <w:rsid w:val="00AF3948"/>
    <w:rsid w:val="00B00757"/>
    <w:rsid w:val="00B01D18"/>
    <w:rsid w:val="00B03328"/>
    <w:rsid w:val="00B04177"/>
    <w:rsid w:val="00B04BBA"/>
    <w:rsid w:val="00B13699"/>
    <w:rsid w:val="00B24394"/>
    <w:rsid w:val="00B255D6"/>
    <w:rsid w:val="00B26622"/>
    <w:rsid w:val="00B27AC3"/>
    <w:rsid w:val="00B27EE2"/>
    <w:rsid w:val="00B32A22"/>
    <w:rsid w:val="00B372CF"/>
    <w:rsid w:val="00B37B93"/>
    <w:rsid w:val="00B408C7"/>
    <w:rsid w:val="00B51F4E"/>
    <w:rsid w:val="00B56C4B"/>
    <w:rsid w:val="00B610D7"/>
    <w:rsid w:val="00B6352D"/>
    <w:rsid w:val="00B63BC9"/>
    <w:rsid w:val="00B63D09"/>
    <w:rsid w:val="00B64F9E"/>
    <w:rsid w:val="00B757CF"/>
    <w:rsid w:val="00B852FB"/>
    <w:rsid w:val="00B86769"/>
    <w:rsid w:val="00B911DE"/>
    <w:rsid w:val="00B9339F"/>
    <w:rsid w:val="00B95218"/>
    <w:rsid w:val="00BA16E6"/>
    <w:rsid w:val="00BA32D8"/>
    <w:rsid w:val="00BA4899"/>
    <w:rsid w:val="00BA5587"/>
    <w:rsid w:val="00BA7F4F"/>
    <w:rsid w:val="00BB0751"/>
    <w:rsid w:val="00BB3881"/>
    <w:rsid w:val="00BB600C"/>
    <w:rsid w:val="00BB7C85"/>
    <w:rsid w:val="00BC088A"/>
    <w:rsid w:val="00BC4116"/>
    <w:rsid w:val="00BC5D0F"/>
    <w:rsid w:val="00BD2148"/>
    <w:rsid w:val="00BD422C"/>
    <w:rsid w:val="00BD694F"/>
    <w:rsid w:val="00BD771B"/>
    <w:rsid w:val="00BE014F"/>
    <w:rsid w:val="00BE1440"/>
    <w:rsid w:val="00BE1EA5"/>
    <w:rsid w:val="00BE4B19"/>
    <w:rsid w:val="00BF025F"/>
    <w:rsid w:val="00BF3A05"/>
    <w:rsid w:val="00BF41FA"/>
    <w:rsid w:val="00BF4E9D"/>
    <w:rsid w:val="00BF7259"/>
    <w:rsid w:val="00C02DAE"/>
    <w:rsid w:val="00C12E06"/>
    <w:rsid w:val="00C136B9"/>
    <w:rsid w:val="00C143F8"/>
    <w:rsid w:val="00C17DC2"/>
    <w:rsid w:val="00C20F74"/>
    <w:rsid w:val="00C22C5D"/>
    <w:rsid w:val="00C27310"/>
    <w:rsid w:val="00C32216"/>
    <w:rsid w:val="00C3304E"/>
    <w:rsid w:val="00C35915"/>
    <w:rsid w:val="00C37848"/>
    <w:rsid w:val="00C40595"/>
    <w:rsid w:val="00C471D7"/>
    <w:rsid w:val="00C50741"/>
    <w:rsid w:val="00C52A73"/>
    <w:rsid w:val="00C625AF"/>
    <w:rsid w:val="00C813E2"/>
    <w:rsid w:val="00C83D15"/>
    <w:rsid w:val="00C84054"/>
    <w:rsid w:val="00C8779E"/>
    <w:rsid w:val="00C877C9"/>
    <w:rsid w:val="00C95329"/>
    <w:rsid w:val="00C96305"/>
    <w:rsid w:val="00CB2EB3"/>
    <w:rsid w:val="00CB68B1"/>
    <w:rsid w:val="00CB6F3B"/>
    <w:rsid w:val="00CC60EC"/>
    <w:rsid w:val="00CC6C06"/>
    <w:rsid w:val="00CD3A1B"/>
    <w:rsid w:val="00CD4BAA"/>
    <w:rsid w:val="00CD673B"/>
    <w:rsid w:val="00CD6802"/>
    <w:rsid w:val="00CE060B"/>
    <w:rsid w:val="00CE18DF"/>
    <w:rsid w:val="00CE2271"/>
    <w:rsid w:val="00CE26DE"/>
    <w:rsid w:val="00CE580E"/>
    <w:rsid w:val="00CF24DC"/>
    <w:rsid w:val="00CF4EA0"/>
    <w:rsid w:val="00CF5582"/>
    <w:rsid w:val="00CF5954"/>
    <w:rsid w:val="00D02438"/>
    <w:rsid w:val="00D0377D"/>
    <w:rsid w:val="00D05089"/>
    <w:rsid w:val="00D05EC0"/>
    <w:rsid w:val="00D108AB"/>
    <w:rsid w:val="00D14160"/>
    <w:rsid w:val="00D22BF4"/>
    <w:rsid w:val="00D269AE"/>
    <w:rsid w:val="00D27D43"/>
    <w:rsid w:val="00D311F3"/>
    <w:rsid w:val="00D40AAB"/>
    <w:rsid w:val="00D42DDC"/>
    <w:rsid w:val="00D51430"/>
    <w:rsid w:val="00D61C34"/>
    <w:rsid w:val="00D62CF3"/>
    <w:rsid w:val="00D64F79"/>
    <w:rsid w:val="00D65C42"/>
    <w:rsid w:val="00D72888"/>
    <w:rsid w:val="00D76652"/>
    <w:rsid w:val="00D8271C"/>
    <w:rsid w:val="00D84194"/>
    <w:rsid w:val="00D8481D"/>
    <w:rsid w:val="00D865A0"/>
    <w:rsid w:val="00DA4C7F"/>
    <w:rsid w:val="00DB1410"/>
    <w:rsid w:val="00DB3857"/>
    <w:rsid w:val="00DB3D03"/>
    <w:rsid w:val="00DC2236"/>
    <w:rsid w:val="00DC3778"/>
    <w:rsid w:val="00DD0D36"/>
    <w:rsid w:val="00DD4EFD"/>
    <w:rsid w:val="00DD7ADE"/>
    <w:rsid w:val="00DE110F"/>
    <w:rsid w:val="00DE4F86"/>
    <w:rsid w:val="00DE5A65"/>
    <w:rsid w:val="00DF4DF5"/>
    <w:rsid w:val="00E0133A"/>
    <w:rsid w:val="00E017DD"/>
    <w:rsid w:val="00E02E52"/>
    <w:rsid w:val="00E03762"/>
    <w:rsid w:val="00E0661F"/>
    <w:rsid w:val="00E07BA9"/>
    <w:rsid w:val="00E1401D"/>
    <w:rsid w:val="00E240F0"/>
    <w:rsid w:val="00E24F1F"/>
    <w:rsid w:val="00E25AB7"/>
    <w:rsid w:val="00E30CB9"/>
    <w:rsid w:val="00E323FE"/>
    <w:rsid w:val="00E33A7E"/>
    <w:rsid w:val="00E35056"/>
    <w:rsid w:val="00E42486"/>
    <w:rsid w:val="00E43E31"/>
    <w:rsid w:val="00E451F5"/>
    <w:rsid w:val="00E512A7"/>
    <w:rsid w:val="00E52C82"/>
    <w:rsid w:val="00E55EB8"/>
    <w:rsid w:val="00E56FBB"/>
    <w:rsid w:val="00E60BED"/>
    <w:rsid w:val="00E63886"/>
    <w:rsid w:val="00E67C87"/>
    <w:rsid w:val="00E7351E"/>
    <w:rsid w:val="00E76DED"/>
    <w:rsid w:val="00E76EDC"/>
    <w:rsid w:val="00E81631"/>
    <w:rsid w:val="00E82CEB"/>
    <w:rsid w:val="00E85D4C"/>
    <w:rsid w:val="00E862ED"/>
    <w:rsid w:val="00E90E12"/>
    <w:rsid w:val="00E91594"/>
    <w:rsid w:val="00E92EA0"/>
    <w:rsid w:val="00EA0EB2"/>
    <w:rsid w:val="00EA2124"/>
    <w:rsid w:val="00EA6FEB"/>
    <w:rsid w:val="00EB3454"/>
    <w:rsid w:val="00EB41F0"/>
    <w:rsid w:val="00EC2595"/>
    <w:rsid w:val="00EC2696"/>
    <w:rsid w:val="00ED0679"/>
    <w:rsid w:val="00ED1466"/>
    <w:rsid w:val="00EE3150"/>
    <w:rsid w:val="00EE36A1"/>
    <w:rsid w:val="00EE4EA8"/>
    <w:rsid w:val="00EF3D55"/>
    <w:rsid w:val="00EF7467"/>
    <w:rsid w:val="00F02463"/>
    <w:rsid w:val="00F06D98"/>
    <w:rsid w:val="00F104EA"/>
    <w:rsid w:val="00F10B62"/>
    <w:rsid w:val="00F11740"/>
    <w:rsid w:val="00F14FFC"/>
    <w:rsid w:val="00F15887"/>
    <w:rsid w:val="00F1638A"/>
    <w:rsid w:val="00F167B6"/>
    <w:rsid w:val="00F179C9"/>
    <w:rsid w:val="00F20C34"/>
    <w:rsid w:val="00F21682"/>
    <w:rsid w:val="00F22C98"/>
    <w:rsid w:val="00F31DA3"/>
    <w:rsid w:val="00F332F2"/>
    <w:rsid w:val="00F36F0B"/>
    <w:rsid w:val="00F41894"/>
    <w:rsid w:val="00F420FE"/>
    <w:rsid w:val="00F43D25"/>
    <w:rsid w:val="00F53F5D"/>
    <w:rsid w:val="00F561F9"/>
    <w:rsid w:val="00F606D5"/>
    <w:rsid w:val="00F60CBF"/>
    <w:rsid w:val="00F6480B"/>
    <w:rsid w:val="00F65DFC"/>
    <w:rsid w:val="00F673CB"/>
    <w:rsid w:val="00F67AF6"/>
    <w:rsid w:val="00F71CD6"/>
    <w:rsid w:val="00F73BCB"/>
    <w:rsid w:val="00F73F7D"/>
    <w:rsid w:val="00F8037B"/>
    <w:rsid w:val="00F8270C"/>
    <w:rsid w:val="00F84A5A"/>
    <w:rsid w:val="00F871C2"/>
    <w:rsid w:val="00F90553"/>
    <w:rsid w:val="00F924C6"/>
    <w:rsid w:val="00FA6044"/>
    <w:rsid w:val="00FA67C8"/>
    <w:rsid w:val="00FA796B"/>
    <w:rsid w:val="00FC5158"/>
    <w:rsid w:val="00FC5505"/>
    <w:rsid w:val="00FD2375"/>
    <w:rsid w:val="00FD345D"/>
    <w:rsid w:val="00FD3BFA"/>
    <w:rsid w:val="00FD3C6F"/>
    <w:rsid w:val="00FD5D7D"/>
    <w:rsid w:val="00FF09CC"/>
    <w:rsid w:val="00FF3E23"/>
    <w:rsid w:val="00FF707A"/>
    <w:rsid w:val="049F58D5"/>
    <w:rsid w:val="07A41D6A"/>
    <w:rsid w:val="0C9301CB"/>
    <w:rsid w:val="0F8455B0"/>
    <w:rsid w:val="13BC65D5"/>
    <w:rsid w:val="1709559B"/>
    <w:rsid w:val="172A2050"/>
    <w:rsid w:val="17370B1E"/>
    <w:rsid w:val="19F81527"/>
    <w:rsid w:val="1EEB3D48"/>
    <w:rsid w:val="25A20D37"/>
    <w:rsid w:val="2A4E7032"/>
    <w:rsid w:val="2B3E046D"/>
    <w:rsid w:val="35691E02"/>
    <w:rsid w:val="380D5176"/>
    <w:rsid w:val="3BB14E86"/>
    <w:rsid w:val="3E182CB2"/>
    <w:rsid w:val="425D00B6"/>
    <w:rsid w:val="442F07E4"/>
    <w:rsid w:val="45420DD2"/>
    <w:rsid w:val="46831808"/>
    <w:rsid w:val="4823492B"/>
    <w:rsid w:val="487241F8"/>
    <w:rsid w:val="4B9F00A4"/>
    <w:rsid w:val="4D594161"/>
    <w:rsid w:val="55E052CC"/>
    <w:rsid w:val="5A042C61"/>
    <w:rsid w:val="5A3826C4"/>
    <w:rsid w:val="63F04600"/>
    <w:rsid w:val="649804CA"/>
    <w:rsid w:val="64CB5063"/>
    <w:rsid w:val="67CF7A10"/>
    <w:rsid w:val="682A7012"/>
    <w:rsid w:val="683A77DD"/>
    <w:rsid w:val="6B590D04"/>
    <w:rsid w:val="6B60381B"/>
    <w:rsid w:val="6DBE6915"/>
    <w:rsid w:val="6E6E3285"/>
    <w:rsid w:val="73BC603C"/>
    <w:rsid w:val="777A2B9F"/>
    <w:rsid w:val="7BE24EE6"/>
    <w:rsid w:val="7FC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</w:style>
  <w:style w:type="paragraph" w:styleId="12">
    <w:name w:val="toc 6"/>
    <w:basedOn w:val="13"/>
    <w:next w:val="1"/>
    <w:semiHidden/>
    <w:qFormat/>
    <w:uiPriority w:val="0"/>
  </w:style>
  <w:style w:type="paragraph" w:styleId="13">
    <w:name w:val="toc 5"/>
    <w:basedOn w:val="14"/>
    <w:next w:val="1"/>
    <w:semiHidden/>
    <w:qFormat/>
    <w:uiPriority w:val="0"/>
  </w:style>
  <w:style w:type="paragraph" w:styleId="14">
    <w:name w:val="toc 4"/>
    <w:basedOn w:val="15"/>
    <w:next w:val="1"/>
    <w:semiHidden/>
    <w:qFormat/>
    <w:uiPriority w:val="0"/>
  </w:style>
  <w:style w:type="paragraph" w:styleId="15">
    <w:name w:val="toc 3"/>
    <w:basedOn w:val="16"/>
    <w:next w:val="1"/>
    <w:semiHidden/>
    <w:qFormat/>
    <w:uiPriority w:val="0"/>
  </w:style>
  <w:style w:type="paragraph" w:styleId="16">
    <w:name w:val="toc 2"/>
    <w:basedOn w:val="17"/>
    <w:next w:val="1"/>
    <w:semiHidden/>
    <w:qFormat/>
    <w:uiPriority w:val="0"/>
  </w:style>
  <w:style w:type="paragraph" w:styleId="17">
    <w:name w:val="toc 1"/>
    <w:next w:val="1"/>
    <w:semiHidden/>
    <w:qFormat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annotation text"/>
    <w:basedOn w:val="1"/>
    <w:link w:val="46"/>
    <w:qFormat/>
    <w:uiPriority w:val="0"/>
    <w:pPr>
      <w:jc w:val="left"/>
    </w:pPr>
    <w:rPr>
      <w:rFonts w:ascii="Calibri" w:hAnsi="Calibri"/>
    </w:rPr>
  </w:style>
  <w:style w:type="paragraph" w:styleId="19">
    <w:name w:val="Body Text"/>
    <w:basedOn w:val="1"/>
    <w:link w:val="47"/>
    <w:qFormat/>
    <w:uiPriority w:val="99"/>
    <w:pPr>
      <w:tabs>
        <w:tab w:val="left" w:pos="8280"/>
      </w:tabs>
    </w:pPr>
    <w:rPr>
      <w:kern w:val="0"/>
      <w:sz w:val="24"/>
    </w:rPr>
  </w:style>
  <w:style w:type="paragraph" w:styleId="20">
    <w:name w:val="HTML Address"/>
    <w:basedOn w:val="1"/>
    <w:qFormat/>
    <w:uiPriority w:val="0"/>
    <w:rPr>
      <w:i/>
      <w:iCs/>
    </w:rPr>
  </w:style>
  <w:style w:type="paragraph" w:styleId="21">
    <w:name w:val="toc 8"/>
    <w:basedOn w:val="11"/>
    <w:next w:val="1"/>
    <w:semiHidden/>
    <w:qFormat/>
    <w:uiPriority w:val="0"/>
  </w:style>
  <w:style w:type="paragraph" w:styleId="22">
    <w:name w:val="Date"/>
    <w:basedOn w:val="1"/>
    <w:next w:val="1"/>
    <w:link w:val="48"/>
    <w:qFormat/>
    <w:uiPriority w:val="0"/>
    <w:pPr>
      <w:ind w:left="100" w:leftChars="2500"/>
    </w:pPr>
  </w:style>
  <w:style w:type="paragraph" w:styleId="23">
    <w:name w:val="Balloon Text"/>
    <w:basedOn w:val="1"/>
    <w:link w:val="49"/>
    <w:qFormat/>
    <w:uiPriority w:val="0"/>
    <w:rPr>
      <w:sz w:val="18"/>
      <w:szCs w:val="18"/>
    </w:rPr>
  </w:style>
  <w:style w:type="paragraph" w:styleId="24">
    <w:name w:val="footer"/>
    <w:basedOn w:val="1"/>
    <w:link w:val="50"/>
    <w:qFormat/>
    <w:uiPriority w:val="99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25">
    <w:name w:val="header"/>
    <w:basedOn w:val="1"/>
    <w:link w:val="5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27">
    <w:name w:val="toc 9"/>
    <w:basedOn w:val="21"/>
    <w:next w:val="1"/>
    <w:semiHidden/>
    <w:qFormat/>
    <w:uiPriority w:val="0"/>
  </w:style>
  <w:style w:type="paragraph" w:styleId="28">
    <w:name w:val="HTML Preformatted"/>
    <w:basedOn w:val="1"/>
    <w:qFormat/>
    <w:uiPriority w:val="0"/>
    <w:rPr>
      <w:rFonts w:ascii="Courier New" w:hAnsi="Courier New" w:cs="Courier New"/>
      <w:sz w:val="20"/>
      <w:szCs w:val="20"/>
    </w:rPr>
  </w:style>
  <w:style w:type="paragraph" w:styleId="29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0">
    <w:name w:val="annotation subject"/>
    <w:basedOn w:val="18"/>
    <w:next w:val="18"/>
    <w:link w:val="52"/>
    <w:qFormat/>
    <w:uiPriority w:val="0"/>
    <w:rPr>
      <w:rFonts w:ascii="Times New Roman" w:hAnsi="Times New Roman"/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page number"/>
    <w:qFormat/>
    <w:uiPriority w:val="99"/>
    <w:rPr>
      <w:rFonts w:ascii="Times New Roman" w:hAnsi="Times New Roman" w:eastAsia="宋体"/>
      <w:sz w:val="18"/>
    </w:rPr>
  </w:style>
  <w:style w:type="character" w:styleId="35">
    <w:name w:val="HTML Definition"/>
    <w:qFormat/>
    <w:uiPriority w:val="0"/>
    <w:rPr>
      <w:i/>
      <w:iCs/>
    </w:rPr>
  </w:style>
  <w:style w:type="character" w:styleId="36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37">
    <w:name w:val="HTML Acronym"/>
    <w:qFormat/>
    <w:uiPriority w:val="0"/>
  </w:style>
  <w:style w:type="character" w:styleId="38">
    <w:name w:val="HTML Variable"/>
    <w:qFormat/>
    <w:uiPriority w:val="0"/>
    <w:rPr>
      <w:i/>
      <w:iCs/>
    </w:rPr>
  </w:style>
  <w:style w:type="character" w:styleId="39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0">
    <w:name w:val="HTML Code"/>
    <w:qFormat/>
    <w:uiPriority w:val="0"/>
    <w:rPr>
      <w:rFonts w:ascii="Courier New" w:hAnsi="Courier New"/>
      <w:sz w:val="20"/>
      <w:szCs w:val="20"/>
    </w:rPr>
  </w:style>
  <w:style w:type="character" w:styleId="41">
    <w:name w:val="annotation reference"/>
    <w:qFormat/>
    <w:uiPriority w:val="0"/>
    <w:rPr>
      <w:sz w:val="21"/>
      <w:szCs w:val="21"/>
    </w:rPr>
  </w:style>
  <w:style w:type="character" w:styleId="42">
    <w:name w:val="HTML Cite"/>
    <w:qFormat/>
    <w:uiPriority w:val="0"/>
    <w:rPr>
      <w:i/>
      <w:iCs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styleId="44">
    <w:name w:val="HTML Keyboard"/>
    <w:qFormat/>
    <w:uiPriority w:val="0"/>
    <w:rPr>
      <w:rFonts w:ascii="Courier New" w:hAnsi="Courier New"/>
      <w:sz w:val="20"/>
      <w:szCs w:val="20"/>
    </w:rPr>
  </w:style>
  <w:style w:type="character" w:styleId="45">
    <w:name w:val="HTML Sample"/>
    <w:qFormat/>
    <w:uiPriority w:val="0"/>
    <w:rPr>
      <w:rFonts w:ascii="Courier New" w:hAnsi="Courier New"/>
    </w:rPr>
  </w:style>
  <w:style w:type="character" w:customStyle="1" w:styleId="46">
    <w:name w:val="批注文字 Char"/>
    <w:link w:val="18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47">
    <w:name w:val="正文文本 Char"/>
    <w:link w:val="19"/>
    <w:qFormat/>
    <w:uiPriority w:val="99"/>
    <w:rPr>
      <w:sz w:val="24"/>
      <w:szCs w:val="24"/>
    </w:rPr>
  </w:style>
  <w:style w:type="character" w:customStyle="1" w:styleId="48">
    <w:name w:val="日期 Char"/>
    <w:link w:val="22"/>
    <w:qFormat/>
    <w:uiPriority w:val="0"/>
    <w:rPr>
      <w:kern w:val="2"/>
      <w:sz w:val="21"/>
      <w:szCs w:val="24"/>
    </w:rPr>
  </w:style>
  <w:style w:type="character" w:customStyle="1" w:styleId="49">
    <w:name w:val="批注框文本 Char"/>
    <w:link w:val="23"/>
    <w:qFormat/>
    <w:uiPriority w:val="0"/>
    <w:rPr>
      <w:kern w:val="2"/>
      <w:sz w:val="18"/>
      <w:szCs w:val="18"/>
    </w:rPr>
  </w:style>
  <w:style w:type="character" w:customStyle="1" w:styleId="50">
    <w:name w:val="页脚 Char"/>
    <w:link w:val="24"/>
    <w:qFormat/>
    <w:uiPriority w:val="99"/>
    <w:rPr>
      <w:kern w:val="2"/>
      <w:sz w:val="18"/>
      <w:szCs w:val="18"/>
    </w:rPr>
  </w:style>
  <w:style w:type="character" w:customStyle="1" w:styleId="51">
    <w:name w:val="页眉 Char"/>
    <w:link w:val="25"/>
    <w:uiPriority w:val="0"/>
    <w:rPr>
      <w:kern w:val="2"/>
      <w:sz w:val="18"/>
      <w:szCs w:val="18"/>
    </w:rPr>
  </w:style>
  <w:style w:type="character" w:customStyle="1" w:styleId="52">
    <w:name w:val="批注主题 Char"/>
    <w:link w:val="30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5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4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5">
    <w:name w:val="一级条标题 Char"/>
    <w:link w:val="56"/>
    <w:qFormat/>
    <w:uiPriority w:val="0"/>
    <w:rPr>
      <w:rFonts w:eastAsia="黑体"/>
      <w:sz w:val="21"/>
    </w:rPr>
  </w:style>
  <w:style w:type="paragraph" w:customStyle="1" w:styleId="56">
    <w:name w:val="一级条标题"/>
    <w:next w:val="57"/>
    <w:link w:val="55"/>
    <w:qFormat/>
    <w:uiPriority w:val="0"/>
    <w:pPr>
      <w:numPr>
        <w:ilvl w:val="2"/>
        <w:numId w:val="1"/>
      </w:numPr>
      <w:ind w:left="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57">
    <w:name w:val="段"/>
    <w:link w:val="5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8">
    <w:name w:val="段 Char"/>
    <w:link w:val="57"/>
    <w:qFormat/>
    <w:uiPriority w:val="0"/>
    <w:rPr>
      <w:rFonts w:ascii="宋体"/>
      <w:sz w:val="21"/>
      <w:lang w:val="en-US" w:eastAsia="zh-CN" w:bidi="ar-SA"/>
    </w:rPr>
  </w:style>
  <w:style w:type="character" w:customStyle="1" w:styleId="59">
    <w:name w:val="_Style 58"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二级条标题 Char"/>
    <w:link w:val="61"/>
    <w:qFormat/>
    <w:uiPriority w:val="0"/>
  </w:style>
  <w:style w:type="paragraph" w:customStyle="1" w:styleId="61">
    <w:name w:val="二级条标题"/>
    <w:basedOn w:val="56"/>
    <w:next w:val="57"/>
    <w:link w:val="60"/>
    <w:qFormat/>
    <w:uiPriority w:val="0"/>
    <w:pPr>
      <w:numPr>
        <w:ilvl w:val="3"/>
      </w:numPr>
      <w:outlineLvl w:val="3"/>
    </w:pPr>
  </w:style>
  <w:style w:type="character" w:customStyle="1" w:styleId="62">
    <w:name w:val="发布"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63">
    <w:name w:val="四级条标题"/>
    <w:basedOn w:val="64"/>
    <w:next w:val="57"/>
    <w:qFormat/>
    <w:uiPriority w:val="0"/>
    <w:pPr>
      <w:numPr>
        <w:ilvl w:val="5"/>
      </w:numPr>
      <w:outlineLvl w:val="5"/>
    </w:pPr>
  </w:style>
  <w:style w:type="paragraph" w:customStyle="1" w:styleId="64">
    <w:name w:val="三级条标题"/>
    <w:basedOn w:val="61"/>
    <w:next w:val="57"/>
    <w:qFormat/>
    <w:uiPriority w:val="0"/>
    <w:pPr>
      <w:numPr>
        <w:ilvl w:val="4"/>
      </w:numPr>
      <w:outlineLvl w:val="4"/>
    </w:pPr>
  </w:style>
  <w:style w:type="paragraph" w:customStyle="1" w:styleId="65">
    <w:name w:val="附录二级条标题"/>
    <w:basedOn w:val="66"/>
    <w:next w:val="57"/>
    <w:qFormat/>
    <w:uiPriority w:val="0"/>
    <w:pPr>
      <w:numPr>
        <w:ilvl w:val="3"/>
      </w:numPr>
      <w:outlineLvl w:val="3"/>
    </w:pPr>
  </w:style>
  <w:style w:type="paragraph" w:customStyle="1" w:styleId="66">
    <w:name w:val="附录一级条标题"/>
    <w:basedOn w:val="67"/>
    <w:next w:val="57"/>
    <w:qFormat/>
    <w:uiPriority w:val="0"/>
    <w:pPr>
      <w:numPr>
        <w:ilvl w:val="2"/>
      </w:numPr>
      <w:autoSpaceDN w:val="0"/>
      <w:spacing w:before="0" w:beforeLines="0" w:after="0" w:afterLines="0"/>
      <w:outlineLvl w:val="2"/>
    </w:pPr>
  </w:style>
  <w:style w:type="paragraph" w:customStyle="1" w:styleId="67">
    <w:name w:val="附录章标题"/>
    <w:next w:val="57"/>
    <w:qFormat/>
    <w:uiPriority w:val="0"/>
    <w:pPr>
      <w:numPr>
        <w:ilvl w:val="1"/>
        <w:numId w:val="2"/>
      </w:num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68">
    <w:name w:val="附录四级条标题"/>
    <w:basedOn w:val="69"/>
    <w:next w:val="57"/>
    <w:qFormat/>
    <w:uiPriority w:val="0"/>
    <w:pPr>
      <w:numPr>
        <w:ilvl w:val="5"/>
      </w:numPr>
      <w:outlineLvl w:val="5"/>
    </w:pPr>
  </w:style>
  <w:style w:type="paragraph" w:customStyle="1" w:styleId="69">
    <w:name w:val="附录三级条标题"/>
    <w:basedOn w:val="65"/>
    <w:next w:val="57"/>
    <w:qFormat/>
    <w:uiPriority w:val="0"/>
    <w:pPr>
      <w:numPr>
        <w:ilvl w:val="4"/>
      </w:numPr>
      <w:outlineLvl w:val="4"/>
    </w:pPr>
  </w:style>
  <w:style w:type="paragraph" w:customStyle="1" w:styleId="70">
    <w:name w:val="封面正文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1">
    <w:name w:val="标准书眉_奇数页"/>
    <w:next w:val="1"/>
    <w:qFormat/>
    <w:uiPriority w:val="99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2">
    <w:name w:val="正文公式编号制表符"/>
    <w:basedOn w:val="57"/>
    <w:next w:val="57"/>
    <w:qFormat/>
    <w:uiPriority w:val="0"/>
    <w:pPr>
      <w:tabs>
        <w:tab w:val="center" w:pos="4201"/>
        <w:tab w:val="right" w:leader="dot" w:pos="9298"/>
      </w:tabs>
      <w:ind w:firstLine="0" w:firstLineChars="0"/>
    </w:pPr>
  </w:style>
  <w:style w:type="paragraph" w:customStyle="1" w:styleId="73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5">
    <w:name w:val="标准书眉一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6">
    <w:name w:val="标准表题"/>
    <w:basedOn w:val="1"/>
    <w:next w:val="57"/>
    <w:qFormat/>
    <w:uiPriority w:val="0"/>
    <w:pPr>
      <w:widowControl/>
      <w:jc w:val="center"/>
    </w:pPr>
    <w:rPr>
      <w:rFonts w:ascii="黑体" w:eastAsia="黑体"/>
      <w:kern w:val="21"/>
    </w:rPr>
  </w:style>
  <w:style w:type="paragraph" w:customStyle="1" w:styleId="77">
    <w:name w:val="目次、标准名称标题"/>
    <w:basedOn w:val="78"/>
    <w:next w:val="57"/>
    <w:qFormat/>
    <w:uiPriority w:val="0"/>
    <w:pPr>
      <w:numPr>
        <w:numId w:val="0"/>
      </w:numPr>
      <w:spacing w:line="460" w:lineRule="exact"/>
    </w:pPr>
  </w:style>
  <w:style w:type="paragraph" w:customStyle="1" w:styleId="78">
    <w:name w:val="前言、引言标题"/>
    <w:next w:val="1"/>
    <w:qFormat/>
    <w:uiPriority w:val="99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9">
    <w:name w:val="列项◆（三级）"/>
    <w:qFormat/>
    <w:uiPriority w:val="0"/>
    <w:pPr>
      <w:numPr>
        <w:ilvl w:val="0"/>
        <w:numId w:val="3"/>
      </w:num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0">
    <w:name w:val="列项●（二级）"/>
    <w:qFormat/>
    <w:uiPriority w:val="0"/>
    <w:pPr>
      <w:numPr>
        <w:ilvl w:val="0"/>
        <w:numId w:val="4"/>
      </w:numPr>
      <w:tabs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1">
    <w:name w:val="正文图标题"/>
    <w:next w:val="57"/>
    <w:qFormat/>
    <w:uiPriority w:val="0"/>
    <w:pPr>
      <w:numPr>
        <w:ilvl w:val="0"/>
        <w:numId w:val="5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83">
    <w:name w:val="五级条标题"/>
    <w:basedOn w:val="63"/>
    <w:next w:val="57"/>
    <w:qFormat/>
    <w:uiPriority w:val="0"/>
    <w:pPr>
      <w:numPr>
        <w:ilvl w:val="6"/>
      </w:numPr>
      <w:outlineLvl w:val="6"/>
    </w:pPr>
  </w:style>
  <w:style w:type="paragraph" w:customStyle="1" w:styleId="84">
    <w:name w:val="注×："/>
    <w:qFormat/>
    <w:uiPriority w:val="0"/>
    <w:pPr>
      <w:widowControl w:val="0"/>
      <w:numPr>
        <w:ilvl w:val="0"/>
        <w:numId w:val="6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5">
    <w:name w:val="列项——（一级）"/>
    <w:qFormat/>
    <w:uiPriority w:val="0"/>
    <w:pPr>
      <w:widowControl w:val="0"/>
      <w:numPr>
        <w:ilvl w:val="0"/>
        <w:numId w:val="7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6">
    <w:name w:val="示例"/>
    <w:next w:val="57"/>
    <w:qFormat/>
    <w:uiPriority w:val="0"/>
    <w:pPr>
      <w:numPr>
        <w:ilvl w:val="0"/>
        <w:numId w:val="8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7">
    <w:name w:val="参考文献、索引标题"/>
    <w:basedOn w:val="78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88">
    <w:name w:val="其他标准称谓"/>
    <w:qFormat/>
    <w:uiPriority w:val="99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89">
    <w:name w:val="图表脚注"/>
    <w:next w:val="57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0">
    <w:name w:val="章标题"/>
    <w:next w:val="57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1">
    <w:name w:val="附录标识"/>
    <w:basedOn w:val="78"/>
    <w:qFormat/>
    <w:uiPriority w:val="0"/>
    <w:pPr>
      <w:numPr>
        <w:ilvl w:val="0"/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92">
    <w:name w:val="封面标准号2"/>
    <w:basedOn w:val="93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93">
    <w:name w:val="封面标准号1"/>
    <w:qFormat/>
    <w:uiPriority w:val="9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5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6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97">
    <w:name w:val="文献分类号"/>
    <w:qFormat/>
    <w:uiPriority w:val="99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8">
    <w:name w:val="附录图标题"/>
    <w:next w:val="57"/>
    <w:qFormat/>
    <w:uiPriority w:val="0"/>
    <w:pPr>
      <w:numPr>
        <w:ilvl w:val="0"/>
        <w:numId w:val="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9">
    <w:name w:val="条文脚注"/>
    <w:basedOn w:val="26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00">
    <w:name w:val="发布部门"/>
    <w:next w:val="57"/>
    <w:qFormat/>
    <w:uiPriority w:val="99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01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2">
    <w:name w:val="标准书脚_偶数页"/>
    <w:qFormat/>
    <w:uiPriority w:val="99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03">
    <w:name w:val="附录五级条标题"/>
    <w:basedOn w:val="68"/>
    <w:next w:val="57"/>
    <w:qFormat/>
    <w:uiPriority w:val="0"/>
    <w:pPr>
      <w:numPr>
        <w:ilvl w:val="6"/>
      </w:numPr>
      <w:outlineLvl w:val="6"/>
    </w:pPr>
  </w:style>
  <w:style w:type="paragraph" w:customStyle="1" w:styleId="104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05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06">
    <w:name w:val="正文表标题"/>
    <w:next w:val="57"/>
    <w:qFormat/>
    <w:uiPriority w:val="0"/>
    <w:pPr>
      <w:numPr>
        <w:ilvl w:val="0"/>
        <w:numId w:val="10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10">
    <w:name w:val="其他发布部门"/>
    <w:basedOn w:val="10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11">
    <w:name w:val="封面标准代替信息"/>
    <w:basedOn w:val="92"/>
    <w:qFormat/>
    <w:uiPriority w:val="0"/>
    <w:pPr>
      <w:framePr w:wrap="around"/>
      <w:spacing w:before="57"/>
    </w:pPr>
    <w:rPr>
      <w:rFonts w:ascii="宋体"/>
      <w:sz w:val="21"/>
    </w:rPr>
  </w:style>
  <w:style w:type="paragraph" w:customStyle="1" w:styleId="112">
    <w:name w:val="实施日期"/>
    <w:basedOn w:val="105"/>
    <w:qFormat/>
    <w:uiPriority w:val="99"/>
    <w:pPr>
      <w:framePr w:hSpace="0" w:wrap="around" w:xAlign="right"/>
      <w:jc w:val="right"/>
    </w:pPr>
  </w:style>
  <w:style w:type="paragraph" w:customStyle="1" w:styleId="113">
    <w:name w:val="附录表标题"/>
    <w:next w:val="57"/>
    <w:qFormat/>
    <w:uiPriority w:val="0"/>
    <w:pPr>
      <w:numPr>
        <w:ilvl w:val="0"/>
        <w:numId w:val="11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14">
    <w:name w:val="标准书脚_奇数页"/>
    <w:qFormat/>
    <w:uiPriority w:val="99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15">
    <w:name w:val="标准书眉_偶数页"/>
    <w:basedOn w:val="71"/>
    <w:next w:val="1"/>
    <w:qFormat/>
    <w:uiPriority w:val="99"/>
    <w:pPr>
      <w:jc w:val="left"/>
    </w:pPr>
  </w:style>
  <w:style w:type="paragraph" w:customStyle="1" w:styleId="116">
    <w:name w:val="注："/>
    <w:next w:val="57"/>
    <w:qFormat/>
    <w:uiPriority w:val="0"/>
    <w:pPr>
      <w:widowControl w:val="0"/>
      <w:numPr>
        <w:ilvl w:val="0"/>
        <w:numId w:val="12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styleId="117">
    <w:name w:val="List Paragraph"/>
    <w:basedOn w:val="1"/>
    <w:qFormat/>
    <w:uiPriority w:val="99"/>
    <w:pPr>
      <w:ind w:firstLine="420" w:firstLineChars="200"/>
    </w:pPr>
  </w:style>
  <w:style w:type="paragraph" w:customStyle="1" w:styleId="11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">
    <w:name w:val="列出段落2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12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3.emf"/><Relationship Id="rId15" Type="http://schemas.openxmlformats.org/officeDocument/2006/relationships/image" Target="media/image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.GIF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2\tds2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91276E-8DFE-4D0E-B822-ECBC1C683C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tds2</Template>
  <Company>CNIS</Company>
  <Pages>9</Pages>
  <Words>3264</Words>
  <Characters>4047</Characters>
  <Lines>32</Lines>
  <Paragraphs>9</Paragraphs>
  <TotalTime>2</TotalTime>
  <ScaleCrop>false</ScaleCrop>
  <LinksUpToDate>false</LinksUpToDate>
  <CharactersWithSpaces>4234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2022-08-15T00:39:00Z</dcterms:created>
  <dc:creator>zhengying</dc:creator>
  <cp:lastModifiedBy>张鹏</cp:lastModifiedBy>
  <cp:lastPrinted>2021-09-02T06:14:00Z</cp:lastPrinted>
  <dcterms:modified xsi:type="dcterms:W3CDTF">2022-08-15T06:21:33Z</dcterms:modified>
  <dc:title>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  <property fmtid="{D5CDD505-2E9C-101B-9397-08002B2CF9AE}" pid="3" name="KSOProductBuildVer">
    <vt:lpwstr>2052-11.1.0.12302</vt:lpwstr>
  </property>
  <property fmtid="{D5CDD505-2E9C-101B-9397-08002B2CF9AE}" pid="4" name="ICV">
    <vt:lpwstr>87FA3C44A855445B854333D4FB1EED69</vt:lpwstr>
  </property>
</Properties>
</file>